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24D5" w14:textId="6C34CF80" w:rsidR="005E789B" w:rsidRPr="00062660" w:rsidRDefault="002D7DB3" w:rsidP="00062660">
      <w:pPr>
        <w:spacing w:line="276" w:lineRule="auto"/>
        <w:jc w:val="both"/>
        <w:rPr>
          <w:rFonts w:ascii="Verdana" w:hAnsi="Verdana"/>
          <w:b/>
          <w:bCs/>
          <w:sz w:val="28"/>
          <w:szCs w:val="28"/>
        </w:rPr>
      </w:pPr>
      <w:r w:rsidRPr="00062660">
        <w:rPr>
          <w:rFonts w:ascii="Verdana" w:hAnsi="Verdana"/>
          <w:b/>
          <w:bCs/>
          <w:sz w:val="28"/>
          <w:szCs w:val="28"/>
        </w:rPr>
        <w:t>Climate Catalyst Fund</w:t>
      </w:r>
    </w:p>
    <w:p w14:paraId="41095796" w14:textId="525B9FEE" w:rsidR="002D7DB3" w:rsidRPr="00062660" w:rsidRDefault="002D7DB3" w:rsidP="00062660">
      <w:pPr>
        <w:spacing w:line="276" w:lineRule="auto"/>
        <w:jc w:val="both"/>
        <w:rPr>
          <w:rFonts w:ascii="Verdana" w:hAnsi="Verdana"/>
          <w:i/>
          <w:iCs/>
          <w:color w:val="000000" w:themeColor="text1"/>
        </w:rPr>
      </w:pPr>
      <w:r w:rsidRPr="00062660">
        <w:rPr>
          <w:rFonts w:ascii="Verdana" w:hAnsi="Verdana"/>
          <w:color w:val="000000" w:themeColor="text1"/>
        </w:rPr>
        <w:t>Financing Plan</w:t>
      </w:r>
      <w:r w:rsidR="006C3E8F" w:rsidRPr="00062660">
        <w:rPr>
          <w:rFonts w:ascii="Verdana" w:hAnsi="Verdana"/>
          <w:color w:val="000000" w:themeColor="text1"/>
        </w:rPr>
        <w:t xml:space="preserve"> </w:t>
      </w:r>
      <w:r w:rsidR="00916F45">
        <w:rPr>
          <w:rFonts w:ascii="Verdana" w:hAnsi="Verdana"/>
          <w:color w:val="000000" w:themeColor="text1"/>
        </w:rPr>
        <w:t>January 26</w:t>
      </w:r>
      <w:r w:rsidR="00916F45" w:rsidRPr="00582EFE">
        <w:rPr>
          <w:rFonts w:ascii="Verdana" w:hAnsi="Verdana"/>
          <w:color w:val="000000" w:themeColor="text1"/>
          <w:vertAlign w:val="superscript"/>
        </w:rPr>
        <w:t>th</w:t>
      </w:r>
      <w:r w:rsidR="00916F45">
        <w:rPr>
          <w:rFonts w:ascii="Verdana" w:hAnsi="Verdana"/>
          <w:color w:val="000000" w:themeColor="text1"/>
        </w:rPr>
        <w:t>, 2022: Wildfire and Forest Resilience</w:t>
      </w:r>
    </w:p>
    <w:p w14:paraId="57AB2E5E" w14:textId="77777777" w:rsidR="00062660" w:rsidRPr="00062660" w:rsidRDefault="00062660" w:rsidP="00062660">
      <w:pPr>
        <w:spacing w:line="276" w:lineRule="auto"/>
        <w:jc w:val="both"/>
        <w:rPr>
          <w:rFonts w:ascii="Verdana" w:hAnsi="Verdana"/>
          <w:color w:val="000000" w:themeColor="text1"/>
        </w:rPr>
      </w:pPr>
    </w:p>
    <w:p w14:paraId="4A0EF3BA" w14:textId="433494F8" w:rsidR="006C3E8F" w:rsidRPr="00062660" w:rsidRDefault="00594538" w:rsidP="00062660">
      <w:pPr>
        <w:spacing w:line="276" w:lineRule="auto"/>
        <w:jc w:val="both"/>
        <w:rPr>
          <w:rFonts w:ascii="Verdana" w:eastAsia="Times New Roman" w:hAnsi="Verdana" w:cs="Times New Roman"/>
          <w:color w:val="000000" w:themeColor="text1"/>
          <w:shd w:val="clear" w:color="auto" w:fill="FFFFFF"/>
        </w:rPr>
      </w:pPr>
      <w:r w:rsidRPr="00062660">
        <w:rPr>
          <w:rFonts w:ascii="Verdana" w:eastAsia="Times New Roman" w:hAnsi="Verdana" w:cs="Arial"/>
          <w:color w:val="000000" w:themeColor="text1"/>
          <w:shd w:val="clear" w:color="auto" w:fill="FFFFFF"/>
        </w:rPr>
        <w:t>In administering the Climate Catalyst</w:t>
      </w:r>
      <w:r w:rsidR="005563E2">
        <w:rPr>
          <w:rFonts w:ascii="Verdana" w:eastAsia="Times New Roman" w:hAnsi="Verdana" w:cs="Arial"/>
          <w:color w:val="000000" w:themeColor="text1"/>
          <w:shd w:val="clear" w:color="auto" w:fill="FFFFFF"/>
        </w:rPr>
        <w:t xml:space="preserve"> Revolving Loan</w:t>
      </w:r>
      <w:r w:rsidRPr="00062660">
        <w:rPr>
          <w:rFonts w:ascii="Verdana" w:eastAsia="Times New Roman" w:hAnsi="Verdana" w:cs="Arial"/>
          <w:color w:val="000000" w:themeColor="text1"/>
          <w:shd w:val="clear" w:color="auto" w:fill="FFFFFF"/>
        </w:rPr>
        <w:t xml:space="preserve"> Fund</w:t>
      </w:r>
      <w:r w:rsidR="005563E2">
        <w:rPr>
          <w:rFonts w:ascii="Verdana" w:eastAsia="Times New Roman" w:hAnsi="Verdana" w:cs="Arial"/>
          <w:color w:val="000000" w:themeColor="text1"/>
          <w:shd w:val="clear" w:color="auto" w:fill="FFFFFF"/>
        </w:rPr>
        <w:t xml:space="preserve"> (the “Fund”) and the Climate Catalyst Revolving Loan Fund Program (the “Program”)</w:t>
      </w:r>
      <w:r w:rsidRPr="00062660">
        <w:rPr>
          <w:rFonts w:ascii="Verdana" w:eastAsia="Times New Roman" w:hAnsi="Verdana" w:cs="Arial"/>
          <w:color w:val="000000" w:themeColor="text1"/>
          <w:shd w:val="clear" w:color="auto" w:fill="FFFFFF"/>
        </w:rPr>
        <w:t>,</w:t>
      </w:r>
      <w:r w:rsidRPr="00062660">
        <w:rPr>
          <w:rFonts w:ascii="Verdana" w:hAnsi="Verdana"/>
          <w:color w:val="000000" w:themeColor="text1"/>
        </w:rPr>
        <w:t xml:space="preserve"> p</w:t>
      </w:r>
      <w:r w:rsidR="006C3E8F" w:rsidRPr="00062660">
        <w:rPr>
          <w:rFonts w:ascii="Verdana" w:hAnsi="Verdana"/>
          <w:color w:val="000000" w:themeColor="text1"/>
        </w:rPr>
        <w:t>er the requirements of Government Code</w:t>
      </w:r>
      <w:r w:rsidR="005563E2">
        <w:rPr>
          <w:rFonts w:ascii="Verdana" w:hAnsi="Verdana"/>
          <w:color w:val="000000" w:themeColor="text1"/>
        </w:rPr>
        <w:t xml:space="preserve"> Section</w:t>
      </w:r>
      <w:r w:rsidR="006C3E8F" w:rsidRPr="00062660">
        <w:rPr>
          <w:rFonts w:ascii="Verdana" w:hAnsi="Verdana"/>
          <w:color w:val="000000" w:themeColor="text1"/>
        </w:rPr>
        <w:t xml:space="preserve"> </w:t>
      </w:r>
      <w:r w:rsidR="006C3E8F" w:rsidRPr="00062660">
        <w:rPr>
          <w:rFonts w:ascii="Verdana" w:eastAsia="Times New Roman" w:hAnsi="Verdana" w:cs="Arial"/>
          <w:color w:val="000000" w:themeColor="text1"/>
          <w:shd w:val="clear" w:color="auto" w:fill="FFFFFF"/>
        </w:rPr>
        <w:t>63048.92,</w:t>
      </w:r>
      <w:r w:rsidRPr="00062660">
        <w:rPr>
          <w:rFonts w:ascii="Verdana" w:eastAsia="Times New Roman" w:hAnsi="Verdana" w:cs="Arial"/>
          <w:color w:val="000000" w:themeColor="text1"/>
          <w:shd w:val="clear" w:color="auto" w:fill="FFFFFF"/>
        </w:rPr>
        <w:t xml:space="preserve"> </w:t>
      </w:r>
      <w:r w:rsidR="006C3E8F" w:rsidRPr="00062660">
        <w:rPr>
          <w:rFonts w:ascii="Verdana" w:eastAsia="Times New Roman" w:hAnsi="Verdana" w:cs="Arial"/>
          <w:color w:val="000000" w:themeColor="text1"/>
          <w:shd w:val="clear" w:color="auto" w:fill="FFFFFF"/>
        </w:rPr>
        <w:t xml:space="preserve">IBank must prepare a </w:t>
      </w:r>
      <w:r w:rsidR="005563E2">
        <w:rPr>
          <w:rFonts w:ascii="Verdana" w:eastAsia="Times New Roman" w:hAnsi="Verdana" w:cs="Arial"/>
          <w:color w:val="000000" w:themeColor="text1"/>
          <w:shd w:val="clear" w:color="auto" w:fill="FFFFFF"/>
        </w:rPr>
        <w:t xml:space="preserve">Climate Catalyst </w:t>
      </w:r>
      <w:r w:rsidR="006C3E8F" w:rsidRPr="00062660">
        <w:rPr>
          <w:rFonts w:ascii="Verdana" w:eastAsia="Times New Roman" w:hAnsi="Verdana" w:cs="Arial"/>
          <w:color w:val="000000" w:themeColor="text1"/>
          <w:shd w:val="clear" w:color="auto" w:fill="FFFFFF"/>
        </w:rPr>
        <w:t>Financing Plan</w:t>
      </w:r>
      <w:r w:rsidR="005563E2">
        <w:rPr>
          <w:rFonts w:ascii="Verdana" w:eastAsia="Times New Roman" w:hAnsi="Verdana" w:cs="Arial"/>
          <w:color w:val="000000" w:themeColor="text1"/>
          <w:shd w:val="clear" w:color="auto" w:fill="FFFFFF"/>
        </w:rPr>
        <w:t xml:space="preserve"> (the “Financing Plan”)</w:t>
      </w:r>
      <w:r w:rsidR="006C3E8F" w:rsidRPr="00062660">
        <w:rPr>
          <w:rFonts w:ascii="Verdana" w:eastAsia="Times New Roman" w:hAnsi="Verdana" w:cs="Arial"/>
          <w:color w:val="000000" w:themeColor="text1"/>
          <w:shd w:val="clear" w:color="auto" w:fill="FFFFFF"/>
        </w:rPr>
        <w:t xml:space="preserve"> that </w:t>
      </w:r>
      <w:r w:rsidR="006C3E8F" w:rsidRPr="00062660">
        <w:rPr>
          <w:rFonts w:ascii="Verdana" w:eastAsia="Times New Roman" w:hAnsi="Verdana" w:cs="Times New Roman"/>
          <w:color w:val="000000" w:themeColor="text1"/>
          <w:shd w:val="clear" w:color="auto" w:fill="FFFFFF"/>
        </w:rPr>
        <w:t xml:space="preserve">identifies “potential categories and eligibility criteria of climate catalyst projects that may receive financial assistance” under the </w:t>
      </w:r>
      <w:r w:rsidR="000603EF">
        <w:rPr>
          <w:rFonts w:ascii="Verdana" w:eastAsia="Times New Roman" w:hAnsi="Verdana" w:cs="Times New Roman"/>
          <w:color w:val="000000" w:themeColor="text1"/>
          <w:shd w:val="clear" w:color="auto" w:fill="FFFFFF"/>
        </w:rPr>
        <w:t>P</w:t>
      </w:r>
      <w:r w:rsidR="006C3E8F" w:rsidRPr="00062660">
        <w:rPr>
          <w:rFonts w:ascii="Verdana" w:eastAsia="Times New Roman" w:hAnsi="Verdana" w:cs="Times New Roman"/>
          <w:color w:val="000000" w:themeColor="text1"/>
          <w:shd w:val="clear" w:color="auto" w:fill="FFFFFF"/>
        </w:rPr>
        <w:t xml:space="preserve">rogram. </w:t>
      </w:r>
    </w:p>
    <w:p w14:paraId="1AB368EF" w14:textId="6FCD6027" w:rsidR="00AE4538" w:rsidRPr="00062660" w:rsidRDefault="00AE4538" w:rsidP="00062660">
      <w:pPr>
        <w:spacing w:line="276" w:lineRule="auto"/>
        <w:jc w:val="both"/>
        <w:rPr>
          <w:rFonts w:ascii="Verdana" w:eastAsia="Times New Roman" w:hAnsi="Verdana" w:cs="Times New Roman"/>
          <w:color w:val="000000" w:themeColor="text1"/>
          <w:shd w:val="clear" w:color="auto" w:fill="FFFFFF"/>
        </w:rPr>
      </w:pPr>
    </w:p>
    <w:p w14:paraId="34EEB560" w14:textId="36574721" w:rsidR="00AE4538" w:rsidRPr="00062660" w:rsidRDefault="00AE4538" w:rsidP="00062660">
      <w:pPr>
        <w:spacing w:line="276" w:lineRule="auto"/>
        <w:jc w:val="both"/>
        <w:rPr>
          <w:rFonts w:ascii="Verdana" w:eastAsia="Times New Roman" w:hAnsi="Verdana" w:cs="Times New Roman"/>
          <w:color w:val="000000" w:themeColor="text1"/>
        </w:rPr>
      </w:pPr>
      <w:r w:rsidRPr="00062660">
        <w:rPr>
          <w:rFonts w:ascii="Verdana" w:eastAsia="Times New Roman" w:hAnsi="Verdana" w:cs="Times New Roman"/>
          <w:color w:val="000000" w:themeColor="text1"/>
          <w:shd w:val="clear" w:color="auto" w:fill="FFFFFF"/>
        </w:rPr>
        <w:t>This document serves as the initial Financing Plan for the Fund</w:t>
      </w:r>
      <w:r w:rsidR="000603EF">
        <w:rPr>
          <w:rFonts w:ascii="Verdana" w:eastAsia="Times New Roman" w:hAnsi="Verdana" w:cs="Times New Roman"/>
          <w:color w:val="000000" w:themeColor="text1"/>
          <w:shd w:val="clear" w:color="auto" w:fill="FFFFFF"/>
        </w:rPr>
        <w:t xml:space="preserve"> and </w:t>
      </w:r>
      <w:r w:rsidR="00C14FAA">
        <w:rPr>
          <w:rFonts w:ascii="Verdana" w:eastAsia="Times New Roman" w:hAnsi="Verdana" w:cs="Times New Roman"/>
          <w:color w:val="000000" w:themeColor="text1"/>
          <w:shd w:val="clear" w:color="auto" w:fill="FFFFFF"/>
        </w:rPr>
        <w:t>Program</w:t>
      </w:r>
      <w:r w:rsidRPr="00062660">
        <w:rPr>
          <w:rFonts w:ascii="Verdana" w:eastAsia="Times New Roman" w:hAnsi="Verdana" w:cs="Times New Roman"/>
          <w:color w:val="000000" w:themeColor="text1"/>
          <w:shd w:val="clear" w:color="auto" w:fill="FFFFFF"/>
        </w:rPr>
        <w:t xml:space="preserve">, which is presently capitalized to provide financial assistance to </w:t>
      </w:r>
      <w:r w:rsidR="00C14FAA">
        <w:rPr>
          <w:rFonts w:ascii="Verdana" w:eastAsia="Times New Roman" w:hAnsi="Verdana" w:cs="Times New Roman"/>
          <w:color w:val="000000" w:themeColor="text1"/>
          <w:shd w:val="clear" w:color="auto" w:fill="FFFFFF"/>
        </w:rPr>
        <w:t>Climate Catalyst P</w:t>
      </w:r>
      <w:r w:rsidRPr="00062660">
        <w:rPr>
          <w:rFonts w:ascii="Verdana" w:eastAsia="Times New Roman" w:hAnsi="Verdana" w:cs="Times New Roman"/>
          <w:color w:val="000000" w:themeColor="text1"/>
          <w:shd w:val="clear" w:color="auto" w:fill="FFFFFF"/>
        </w:rPr>
        <w:t>rojects</w:t>
      </w:r>
      <w:r w:rsidR="00C14FAA">
        <w:rPr>
          <w:rFonts w:ascii="Verdana" w:eastAsia="Times New Roman" w:hAnsi="Verdana" w:cs="Times New Roman"/>
          <w:color w:val="000000" w:themeColor="text1"/>
          <w:shd w:val="clear" w:color="auto" w:fill="FFFFFF"/>
        </w:rPr>
        <w:t xml:space="preserve"> (“Projects”)</w:t>
      </w:r>
      <w:r w:rsidRPr="00062660">
        <w:rPr>
          <w:rFonts w:ascii="Verdana" w:eastAsia="Times New Roman" w:hAnsi="Verdana" w:cs="Times New Roman"/>
          <w:color w:val="000000" w:themeColor="text1"/>
          <w:shd w:val="clear" w:color="auto" w:fill="FFFFFF"/>
        </w:rPr>
        <w:t xml:space="preserve"> advancing the state policy priority </w:t>
      </w:r>
      <w:r w:rsidR="00B96BE1">
        <w:rPr>
          <w:rFonts w:ascii="Verdana" w:eastAsia="Times New Roman" w:hAnsi="Verdana" w:cs="Times New Roman"/>
          <w:color w:val="000000" w:themeColor="text1"/>
          <w:shd w:val="clear" w:color="auto" w:fill="FFFFFF"/>
        </w:rPr>
        <w:t xml:space="preserve">for wildfire resilience and </w:t>
      </w:r>
      <w:r w:rsidR="000C7896">
        <w:rPr>
          <w:rFonts w:ascii="Verdana" w:eastAsia="Times New Roman" w:hAnsi="Verdana" w:cs="Times New Roman"/>
          <w:color w:val="000000" w:themeColor="text1"/>
          <w:shd w:val="clear" w:color="auto" w:fill="FFFFFF"/>
        </w:rPr>
        <w:t>sustainable forestry practices</w:t>
      </w:r>
      <w:r w:rsidRPr="00062660">
        <w:rPr>
          <w:rFonts w:ascii="Verdana" w:eastAsia="Times New Roman" w:hAnsi="Verdana" w:cs="Times New Roman"/>
          <w:color w:val="000000" w:themeColor="text1"/>
          <w:shd w:val="clear" w:color="auto" w:fill="FFFFFF"/>
        </w:rPr>
        <w:t>.</w:t>
      </w:r>
    </w:p>
    <w:p w14:paraId="56A9CEC7" w14:textId="3AA8FE9D" w:rsidR="006C3E8F" w:rsidRPr="00062660" w:rsidRDefault="006C3E8F" w:rsidP="00062660">
      <w:pPr>
        <w:spacing w:line="276" w:lineRule="auto"/>
        <w:jc w:val="both"/>
        <w:rPr>
          <w:rFonts w:ascii="Verdana" w:eastAsia="Times New Roman" w:hAnsi="Verdana" w:cs="Times New Roman"/>
          <w:color w:val="000000" w:themeColor="text1"/>
        </w:rPr>
      </w:pPr>
    </w:p>
    <w:p w14:paraId="7BE3B26E" w14:textId="65E6A651" w:rsidR="006C3E8F" w:rsidRPr="00062660" w:rsidRDefault="006C3E8F" w:rsidP="00062660">
      <w:pPr>
        <w:spacing w:line="276" w:lineRule="auto"/>
        <w:jc w:val="both"/>
        <w:rPr>
          <w:rFonts w:ascii="Verdana" w:hAnsi="Verdana"/>
          <w:color w:val="000000" w:themeColor="text1"/>
        </w:rPr>
      </w:pPr>
      <w:r w:rsidRPr="00062660">
        <w:rPr>
          <w:rFonts w:ascii="Verdana" w:hAnsi="Verdana"/>
          <w:color w:val="000000" w:themeColor="text1"/>
        </w:rPr>
        <w:t xml:space="preserve">Government Code </w:t>
      </w:r>
      <w:r w:rsidR="00813AC8">
        <w:rPr>
          <w:rFonts w:ascii="Verdana" w:hAnsi="Verdana"/>
          <w:color w:val="000000" w:themeColor="text1"/>
        </w:rPr>
        <w:t xml:space="preserve">Section </w:t>
      </w:r>
      <w:r w:rsidRPr="00062660">
        <w:rPr>
          <w:rFonts w:ascii="Verdana" w:hAnsi="Verdana"/>
          <w:color w:val="000000" w:themeColor="text1"/>
        </w:rPr>
        <w:t>63048.93</w:t>
      </w:r>
      <w:r w:rsidR="00AE4538" w:rsidRPr="00062660">
        <w:rPr>
          <w:rFonts w:ascii="Verdana" w:hAnsi="Verdana"/>
          <w:color w:val="000000" w:themeColor="text1"/>
        </w:rPr>
        <w:t xml:space="preserve">(d) </w:t>
      </w:r>
      <w:r w:rsidR="00813AC8">
        <w:rPr>
          <w:rFonts w:ascii="Verdana" w:hAnsi="Verdana"/>
          <w:color w:val="000000" w:themeColor="text1"/>
        </w:rPr>
        <w:t>requires</w:t>
      </w:r>
      <w:r w:rsidRPr="00062660">
        <w:rPr>
          <w:rFonts w:ascii="Verdana" w:hAnsi="Verdana"/>
          <w:color w:val="000000" w:themeColor="text1"/>
        </w:rPr>
        <w:t xml:space="preserve"> that IBank engage with specific “consulting agencies” in formulating these </w:t>
      </w:r>
      <w:r w:rsidR="00AE4538" w:rsidRPr="00062660">
        <w:rPr>
          <w:rFonts w:ascii="Verdana" w:hAnsi="Verdana"/>
          <w:color w:val="000000" w:themeColor="text1"/>
        </w:rPr>
        <w:t xml:space="preserve">financing </w:t>
      </w:r>
      <w:r w:rsidRPr="00062660">
        <w:rPr>
          <w:rFonts w:ascii="Verdana" w:hAnsi="Verdana"/>
          <w:color w:val="000000" w:themeColor="text1"/>
        </w:rPr>
        <w:t>plans:</w:t>
      </w:r>
    </w:p>
    <w:p w14:paraId="050B57DE" w14:textId="1F369D8B" w:rsidR="006C3E8F" w:rsidRPr="00062660" w:rsidRDefault="006C3E8F" w:rsidP="00062660">
      <w:pPr>
        <w:spacing w:line="276" w:lineRule="auto"/>
        <w:jc w:val="both"/>
        <w:rPr>
          <w:rFonts w:ascii="Verdana" w:hAnsi="Verdana"/>
          <w:color w:val="000000" w:themeColor="text1"/>
        </w:rPr>
      </w:pPr>
    </w:p>
    <w:p w14:paraId="4916EA20" w14:textId="3F72B2D4" w:rsidR="006C3E8F" w:rsidRPr="006C3E8F" w:rsidRDefault="006C3E8F" w:rsidP="00062660">
      <w:pPr>
        <w:shd w:val="clear" w:color="auto" w:fill="FFFFFF"/>
        <w:spacing w:line="276" w:lineRule="auto"/>
        <w:jc w:val="both"/>
        <w:textAlignment w:val="baseline"/>
        <w:rPr>
          <w:rFonts w:ascii="Verdana" w:eastAsia="Times New Roman" w:hAnsi="Verdana" w:cs="Times New Roman"/>
          <w:color w:val="000000" w:themeColor="text1"/>
        </w:rPr>
      </w:pPr>
      <w:r w:rsidRPr="00062660">
        <w:rPr>
          <w:rFonts w:ascii="Verdana" w:eastAsia="Times New Roman" w:hAnsi="Verdana" w:cs="Times New Roman"/>
          <w:color w:val="000000" w:themeColor="text1"/>
        </w:rPr>
        <w:t>“</w:t>
      </w:r>
      <w:r w:rsidRPr="006C3E8F">
        <w:rPr>
          <w:rFonts w:ascii="Verdana" w:eastAsia="Times New Roman" w:hAnsi="Verdana" w:cs="Times New Roman"/>
          <w:color w:val="000000" w:themeColor="text1"/>
        </w:rPr>
        <w:t>(1) Beginning in the 2021–2022 fiscal year, the bank shall meet and confer with the consulting agencies concerning the specific categories of climate</w:t>
      </w:r>
      <w:r w:rsidRPr="00062660">
        <w:rPr>
          <w:rFonts w:ascii="Verdana" w:eastAsia="Times New Roman" w:hAnsi="Verdana" w:cs="Times New Roman"/>
          <w:color w:val="000000" w:themeColor="text1"/>
        </w:rPr>
        <w:t xml:space="preserve"> catalyst</w:t>
      </w:r>
      <w:r w:rsidRPr="006C3E8F">
        <w:rPr>
          <w:rFonts w:ascii="Verdana" w:eastAsia="Times New Roman" w:hAnsi="Verdana" w:cs="Times New Roman"/>
          <w:color w:val="000000" w:themeColor="text1"/>
        </w:rPr>
        <w:t> project corresponding to each agency as provided in subdivision (f). Thereafter, the bank board shall adopt, by majority vote of the bank board, a climate </w:t>
      </w:r>
      <w:r w:rsidRPr="00062660">
        <w:rPr>
          <w:rFonts w:ascii="Verdana" w:eastAsia="Times New Roman" w:hAnsi="Verdana" w:cs="Times New Roman"/>
          <w:color w:val="000000" w:themeColor="text1"/>
        </w:rPr>
        <w:t>catalyst</w:t>
      </w:r>
      <w:r w:rsidRPr="006C3E8F">
        <w:rPr>
          <w:rFonts w:ascii="Verdana" w:eastAsia="Times New Roman" w:hAnsi="Verdana" w:cs="Times New Roman"/>
          <w:color w:val="000000" w:themeColor="text1"/>
        </w:rPr>
        <w:t> financing plan. Prior to the bank board meeting in which the bank board will first consider adoption of the financing plan, each consulting agency shall submit a letter to the bank board discussing any areas of support and any areas of disagreement with the financing plan under consideration.</w:t>
      </w:r>
    </w:p>
    <w:p w14:paraId="4A21DB60" w14:textId="77777777" w:rsidR="00594538" w:rsidRPr="00062660" w:rsidRDefault="00594538" w:rsidP="00062660">
      <w:pPr>
        <w:shd w:val="clear" w:color="auto" w:fill="FFFFFF"/>
        <w:spacing w:line="276" w:lineRule="auto"/>
        <w:jc w:val="both"/>
        <w:textAlignment w:val="baseline"/>
        <w:rPr>
          <w:rFonts w:ascii="Verdana" w:eastAsia="Times New Roman" w:hAnsi="Verdana" w:cs="Times New Roman"/>
          <w:color w:val="000000" w:themeColor="text1"/>
        </w:rPr>
      </w:pPr>
    </w:p>
    <w:p w14:paraId="0F20A4B2" w14:textId="3D859E97" w:rsidR="006C3E8F" w:rsidRPr="006C3E8F" w:rsidRDefault="006C3E8F" w:rsidP="00062660">
      <w:pPr>
        <w:shd w:val="clear" w:color="auto" w:fill="FFFFFF"/>
        <w:spacing w:line="276" w:lineRule="auto"/>
        <w:jc w:val="both"/>
        <w:textAlignment w:val="baseline"/>
        <w:rPr>
          <w:rFonts w:ascii="Verdana" w:eastAsia="Times New Roman" w:hAnsi="Verdana" w:cs="Times New Roman"/>
          <w:color w:val="000000" w:themeColor="text1"/>
        </w:rPr>
      </w:pPr>
      <w:r w:rsidRPr="006C3E8F">
        <w:rPr>
          <w:rFonts w:ascii="Verdana" w:eastAsia="Times New Roman" w:hAnsi="Verdana" w:cs="Times New Roman"/>
          <w:color w:val="000000" w:themeColor="text1"/>
        </w:rPr>
        <w:t>(2) Following bank board approval, the climate</w:t>
      </w:r>
      <w:r w:rsidRPr="00062660">
        <w:rPr>
          <w:rFonts w:ascii="Verdana" w:eastAsia="Times New Roman" w:hAnsi="Verdana" w:cs="Times New Roman"/>
          <w:color w:val="000000" w:themeColor="text1"/>
        </w:rPr>
        <w:t xml:space="preserve"> catalyst </w:t>
      </w:r>
      <w:r w:rsidRPr="006C3E8F">
        <w:rPr>
          <w:rFonts w:ascii="Verdana" w:eastAsia="Times New Roman" w:hAnsi="Verdana" w:cs="Times New Roman"/>
          <w:color w:val="000000" w:themeColor="text1"/>
        </w:rPr>
        <w:t>financing plan shall be posted on the bank’s internet website.</w:t>
      </w:r>
      <w:r w:rsidRPr="00062660">
        <w:rPr>
          <w:rFonts w:ascii="Verdana" w:eastAsia="Times New Roman" w:hAnsi="Verdana" w:cs="Times New Roman"/>
          <w:color w:val="000000" w:themeColor="text1"/>
        </w:rPr>
        <w:t>”</w:t>
      </w:r>
    </w:p>
    <w:p w14:paraId="0D469253" w14:textId="77777777" w:rsidR="006C3E8F" w:rsidRPr="00062660" w:rsidRDefault="006C3E8F" w:rsidP="00062660">
      <w:pPr>
        <w:spacing w:line="276" w:lineRule="auto"/>
        <w:jc w:val="both"/>
        <w:rPr>
          <w:rFonts w:ascii="Verdana" w:hAnsi="Verdana"/>
          <w:color w:val="000000" w:themeColor="text1"/>
        </w:rPr>
      </w:pPr>
    </w:p>
    <w:p w14:paraId="071CE1C9" w14:textId="4FA11E62" w:rsidR="006C3E8F" w:rsidRPr="00062660" w:rsidRDefault="006C3E8F" w:rsidP="00062660">
      <w:pPr>
        <w:shd w:val="clear" w:color="auto" w:fill="FFFFFF"/>
        <w:spacing w:line="276" w:lineRule="auto"/>
        <w:jc w:val="both"/>
        <w:textAlignment w:val="baseline"/>
        <w:rPr>
          <w:rFonts w:ascii="Verdana" w:eastAsia="Times New Roman" w:hAnsi="Verdana" w:cs="Times New Roman"/>
          <w:color w:val="000000" w:themeColor="text1"/>
        </w:rPr>
      </w:pPr>
      <w:r w:rsidRPr="00062660">
        <w:rPr>
          <w:rFonts w:ascii="Verdana" w:hAnsi="Verdana"/>
          <w:color w:val="000000" w:themeColor="text1"/>
        </w:rPr>
        <w:t>Government Code Section 63048.93(f)</w:t>
      </w:r>
      <w:r w:rsidR="00AE4538" w:rsidRPr="00062660">
        <w:rPr>
          <w:rFonts w:ascii="Verdana" w:hAnsi="Verdana"/>
          <w:color w:val="000000" w:themeColor="text1"/>
        </w:rPr>
        <w:t xml:space="preserve"> identifies </w:t>
      </w:r>
      <w:r w:rsidRPr="00062660">
        <w:rPr>
          <w:rFonts w:ascii="Verdana" w:eastAsia="Times New Roman" w:hAnsi="Verdana" w:cs="Times New Roman"/>
          <w:color w:val="000000" w:themeColor="text1"/>
        </w:rPr>
        <w:t xml:space="preserve">as </w:t>
      </w:r>
      <w:r w:rsidR="00813AC8">
        <w:rPr>
          <w:rFonts w:ascii="Verdana" w:eastAsia="Times New Roman" w:hAnsi="Verdana" w:cs="Times New Roman"/>
          <w:color w:val="000000" w:themeColor="text1"/>
        </w:rPr>
        <w:t>a</w:t>
      </w:r>
      <w:r w:rsidRPr="00062660">
        <w:rPr>
          <w:rFonts w:ascii="Verdana" w:eastAsia="Times New Roman" w:hAnsi="Verdana" w:cs="Times New Roman"/>
          <w:color w:val="000000" w:themeColor="text1"/>
        </w:rPr>
        <w:t xml:space="preserve"> consulting agency</w:t>
      </w:r>
      <w:r w:rsidR="00813AC8">
        <w:rPr>
          <w:rStyle w:val="FootnoteReference"/>
          <w:rFonts w:ascii="Verdana" w:eastAsia="Times New Roman" w:hAnsi="Verdana" w:cs="Times New Roman"/>
          <w:color w:val="000000" w:themeColor="text1"/>
        </w:rPr>
        <w:footnoteReference w:id="1"/>
      </w:r>
      <w:r w:rsidRPr="00062660">
        <w:rPr>
          <w:rFonts w:ascii="Verdana" w:eastAsia="Times New Roman" w:hAnsi="Verdana" w:cs="Times New Roman"/>
          <w:color w:val="000000" w:themeColor="text1"/>
        </w:rPr>
        <w:t xml:space="preserve">: </w:t>
      </w:r>
    </w:p>
    <w:p w14:paraId="16980466" w14:textId="77777777" w:rsidR="00594538" w:rsidRPr="00062660" w:rsidRDefault="00594538" w:rsidP="00062660">
      <w:pPr>
        <w:shd w:val="clear" w:color="auto" w:fill="FFFFFF"/>
        <w:spacing w:line="276" w:lineRule="auto"/>
        <w:jc w:val="both"/>
        <w:textAlignment w:val="baseline"/>
        <w:rPr>
          <w:rFonts w:ascii="Verdana" w:eastAsia="Times New Roman" w:hAnsi="Verdana" w:cs="Times New Roman"/>
          <w:color w:val="000000" w:themeColor="text1"/>
        </w:rPr>
      </w:pPr>
    </w:p>
    <w:p w14:paraId="6A05A543" w14:textId="60ED70AE" w:rsidR="002D7DB3" w:rsidRPr="00062660" w:rsidRDefault="006C3E8F" w:rsidP="00062660">
      <w:pPr>
        <w:shd w:val="clear" w:color="auto" w:fill="FFFFFF"/>
        <w:spacing w:line="276" w:lineRule="auto"/>
        <w:jc w:val="both"/>
        <w:textAlignment w:val="baseline"/>
        <w:rPr>
          <w:rFonts w:ascii="Verdana" w:eastAsia="Times New Roman" w:hAnsi="Verdana" w:cs="Times New Roman"/>
          <w:color w:val="000000" w:themeColor="text1"/>
        </w:rPr>
      </w:pPr>
      <w:r w:rsidRPr="00062660">
        <w:rPr>
          <w:rFonts w:ascii="Verdana" w:eastAsia="Times New Roman" w:hAnsi="Verdana" w:cs="Times New Roman"/>
          <w:color w:val="000000" w:themeColor="text1"/>
        </w:rPr>
        <w:lastRenderedPageBreak/>
        <w:t>“</w:t>
      </w:r>
      <w:r w:rsidR="00AE4538" w:rsidRPr="00062660">
        <w:rPr>
          <w:rFonts w:ascii="Verdana" w:eastAsia="Times New Roman" w:hAnsi="Verdana" w:cs="Times New Roman"/>
          <w:color w:val="000000" w:themeColor="text1"/>
        </w:rPr>
        <w:t xml:space="preserve">(1) </w:t>
      </w:r>
      <w:r w:rsidR="002D7DB3" w:rsidRPr="002D7DB3">
        <w:rPr>
          <w:rFonts w:ascii="Verdana" w:eastAsia="Times New Roman" w:hAnsi="Verdana" w:cs="Times New Roman"/>
          <w:color w:val="000000" w:themeColor="text1"/>
        </w:rPr>
        <w:t>The Natural Resources Agency for climate</w:t>
      </w:r>
      <w:r w:rsidRPr="00062660">
        <w:rPr>
          <w:rFonts w:ascii="Verdana" w:eastAsia="Times New Roman" w:hAnsi="Verdana" w:cs="Times New Roman"/>
          <w:color w:val="000000" w:themeColor="text1"/>
        </w:rPr>
        <w:t xml:space="preserve"> catalyst </w:t>
      </w:r>
      <w:r w:rsidR="002D7DB3" w:rsidRPr="002D7DB3">
        <w:rPr>
          <w:rFonts w:ascii="Verdana" w:eastAsia="Times New Roman" w:hAnsi="Verdana" w:cs="Times New Roman"/>
          <w:color w:val="000000" w:themeColor="text1"/>
        </w:rPr>
        <w:t>projects that relate to sustainable vegetation management, forestry practices, and timber harvesting products. Eligible climate </w:t>
      </w:r>
      <w:r w:rsidRPr="00062660">
        <w:rPr>
          <w:rFonts w:ascii="Verdana" w:eastAsia="Times New Roman" w:hAnsi="Verdana" w:cs="Times New Roman"/>
          <w:color w:val="000000" w:themeColor="text1"/>
        </w:rPr>
        <w:t xml:space="preserve">catalyst </w:t>
      </w:r>
      <w:r w:rsidR="002D7DB3" w:rsidRPr="002D7DB3">
        <w:rPr>
          <w:rFonts w:ascii="Verdana" w:eastAsia="Times New Roman" w:hAnsi="Verdana" w:cs="Times New Roman"/>
          <w:color w:val="000000" w:themeColor="text1"/>
        </w:rPr>
        <w:t xml:space="preserve">project categories include, but are not limited to, </w:t>
      </w:r>
      <w:proofErr w:type="gramStart"/>
      <w:r w:rsidR="002D7DB3" w:rsidRPr="002D7DB3">
        <w:rPr>
          <w:rFonts w:ascii="Verdana" w:eastAsia="Times New Roman" w:hAnsi="Verdana" w:cs="Times New Roman"/>
          <w:color w:val="000000" w:themeColor="text1"/>
        </w:rPr>
        <w:t>all of</w:t>
      </w:r>
      <w:proofErr w:type="gramEnd"/>
      <w:r w:rsidR="002D7DB3" w:rsidRPr="002D7DB3">
        <w:rPr>
          <w:rFonts w:ascii="Verdana" w:eastAsia="Times New Roman" w:hAnsi="Verdana" w:cs="Times New Roman"/>
          <w:color w:val="000000" w:themeColor="text1"/>
        </w:rPr>
        <w:t xml:space="preserve"> the following:</w:t>
      </w:r>
    </w:p>
    <w:p w14:paraId="1008A2D3" w14:textId="77777777" w:rsidR="00594538" w:rsidRPr="002D7DB3" w:rsidRDefault="00594538" w:rsidP="00062660">
      <w:pPr>
        <w:shd w:val="clear" w:color="auto" w:fill="FFFFFF"/>
        <w:spacing w:line="276" w:lineRule="auto"/>
        <w:jc w:val="both"/>
        <w:textAlignment w:val="baseline"/>
        <w:rPr>
          <w:rFonts w:ascii="Verdana" w:eastAsia="Times New Roman" w:hAnsi="Verdana" w:cs="Times New Roman"/>
          <w:color w:val="000000" w:themeColor="text1"/>
        </w:rPr>
      </w:pPr>
    </w:p>
    <w:p w14:paraId="75A1FB2A" w14:textId="77777777" w:rsidR="002D7DB3" w:rsidRPr="002D7DB3" w:rsidRDefault="002D7DB3" w:rsidP="00062660">
      <w:pPr>
        <w:shd w:val="clear" w:color="auto" w:fill="FFFFFF"/>
        <w:spacing w:line="276" w:lineRule="auto"/>
        <w:jc w:val="both"/>
        <w:textAlignment w:val="baseline"/>
        <w:rPr>
          <w:rFonts w:ascii="Verdana" w:eastAsia="Times New Roman" w:hAnsi="Verdana" w:cs="Times New Roman"/>
          <w:color w:val="000000" w:themeColor="text1"/>
        </w:rPr>
      </w:pPr>
      <w:r w:rsidRPr="002D7DB3">
        <w:rPr>
          <w:rFonts w:ascii="Verdana" w:eastAsia="Times New Roman" w:hAnsi="Verdana" w:cs="Times New Roman"/>
          <w:color w:val="000000" w:themeColor="text1"/>
        </w:rPr>
        <w:t>(A) Clean energy production, except combustion biomass conversion.</w:t>
      </w:r>
    </w:p>
    <w:p w14:paraId="622D75D0" w14:textId="77777777" w:rsidR="002D7DB3" w:rsidRPr="002D7DB3" w:rsidRDefault="002D7DB3" w:rsidP="00062660">
      <w:pPr>
        <w:shd w:val="clear" w:color="auto" w:fill="FFFFFF"/>
        <w:spacing w:line="276" w:lineRule="auto"/>
        <w:jc w:val="both"/>
        <w:textAlignment w:val="baseline"/>
        <w:rPr>
          <w:rFonts w:ascii="Verdana" w:eastAsia="Times New Roman" w:hAnsi="Verdana" w:cs="Times New Roman"/>
          <w:color w:val="000000" w:themeColor="text1"/>
        </w:rPr>
      </w:pPr>
      <w:r w:rsidRPr="002D7DB3">
        <w:rPr>
          <w:rFonts w:ascii="Verdana" w:eastAsia="Times New Roman" w:hAnsi="Verdana" w:cs="Times New Roman"/>
          <w:color w:val="000000" w:themeColor="text1"/>
        </w:rPr>
        <w:t>(B) Advanced construction materials.</w:t>
      </w:r>
    </w:p>
    <w:p w14:paraId="050D9AA3" w14:textId="2D525D0F" w:rsidR="002D7DB3" w:rsidRPr="00062660" w:rsidRDefault="002D7DB3" w:rsidP="00062660">
      <w:pPr>
        <w:shd w:val="clear" w:color="auto" w:fill="FFFFFF"/>
        <w:spacing w:line="276" w:lineRule="auto"/>
        <w:jc w:val="both"/>
        <w:textAlignment w:val="baseline"/>
        <w:rPr>
          <w:rFonts w:ascii="Verdana" w:eastAsia="Times New Roman" w:hAnsi="Verdana" w:cs="Times New Roman"/>
          <w:color w:val="000000" w:themeColor="text1"/>
        </w:rPr>
      </w:pPr>
      <w:r w:rsidRPr="002D7DB3">
        <w:rPr>
          <w:rFonts w:ascii="Verdana" w:eastAsia="Times New Roman" w:hAnsi="Verdana" w:cs="Times New Roman"/>
          <w:color w:val="000000" w:themeColor="text1"/>
        </w:rPr>
        <w:t>(C) Forestry equipment needed to achieve the state’s goals for forest and vegetation management treatments.</w:t>
      </w:r>
      <w:r w:rsidR="006C3E8F" w:rsidRPr="00062660">
        <w:rPr>
          <w:rFonts w:ascii="Verdana" w:eastAsia="Times New Roman" w:hAnsi="Verdana" w:cs="Times New Roman"/>
          <w:color w:val="000000" w:themeColor="text1"/>
        </w:rPr>
        <w:t>”</w:t>
      </w:r>
    </w:p>
    <w:p w14:paraId="4BC8C0CB" w14:textId="6F991C5C" w:rsidR="006C3E8F" w:rsidRPr="00062660" w:rsidRDefault="006C3E8F" w:rsidP="00062660">
      <w:pPr>
        <w:shd w:val="clear" w:color="auto" w:fill="FFFFFF"/>
        <w:spacing w:line="276" w:lineRule="auto"/>
        <w:jc w:val="both"/>
        <w:textAlignment w:val="baseline"/>
        <w:rPr>
          <w:rFonts w:ascii="Verdana" w:eastAsia="Times New Roman" w:hAnsi="Verdana" w:cs="Times New Roman"/>
          <w:color w:val="333333"/>
        </w:rPr>
      </w:pPr>
    </w:p>
    <w:p w14:paraId="5FE1F5D9" w14:textId="02D1EDED" w:rsidR="006C3E8F" w:rsidRDefault="00594538" w:rsidP="00062660">
      <w:pPr>
        <w:shd w:val="clear" w:color="auto" w:fill="FFFFFF"/>
        <w:spacing w:line="276" w:lineRule="auto"/>
        <w:jc w:val="both"/>
        <w:textAlignment w:val="baseline"/>
        <w:rPr>
          <w:rFonts w:ascii="Verdana" w:eastAsia="Times New Roman" w:hAnsi="Verdana" w:cs="Times New Roman"/>
          <w:color w:val="333333"/>
        </w:rPr>
      </w:pPr>
      <w:r w:rsidRPr="00062660">
        <w:rPr>
          <w:rFonts w:ascii="Verdana" w:eastAsia="Times New Roman" w:hAnsi="Verdana" w:cs="Times New Roman"/>
          <w:color w:val="333333"/>
        </w:rPr>
        <w:t>Government Code</w:t>
      </w:r>
      <w:r w:rsidR="00EB130F">
        <w:rPr>
          <w:rFonts w:ascii="Verdana" w:eastAsia="Times New Roman" w:hAnsi="Verdana" w:cs="Times New Roman"/>
          <w:color w:val="333333"/>
        </w:rPr>
        <w:t xml:space="preserve"> Section</w:t>
      </w:r>
      <w:r w:rsidRPr="00062660">
        <w:rPr>
          <w:rFonts w:ascii="Verdana" w:eastAsia="Times New Roman" w:hAnsi="Verdana" w:cs="Times New Roman"/>
          <w:color w:val="333333"/>
        </w:rPr>
        <w:t xml:space="preserve"> 63048.93</w:t>
      </w:r>
      <w:r w:rsidR="00EB130F">
        <w:rPr>
          <w:rFonts w:ascii="Verdana" w:eastAsia="Times New Roman" w:hAnsi="Verdana" w:cs="Times New Roman"/>
          <w:color w:val="333333"/>
        </w:rPr>
        <w:t>(f)(1) provides three broad Project categories and includes three specific examples of Projects that fit within those categories.  However, by its own terms, the list of specific Project categories within Government Code Section 63048.93(f)(1) is not exhaustive.  T</w:t>
      </w:r>
      <w:r w:rsidR="0083003F">
        <w:rPr>
          <w:rFonts w:ascii="Verdana" w:eastAsia="Times New Roman" w:hAnsi="Verdana" w:cs="Times New Roman"/>
          <w:color w:val="333333"/>
        </w:rPr>
        <w:t>o determine the potential range of allowable Projects, as directed under Government Code Section 63049.93(f)(1)</w:t>
      </w:r>
      <w:r w:rsidR="00EB130F">
        <w:rPr>
          <w:rFonts w:ascii="Verdana" w:eastAsia="Times New Roman" w:hAnsi="Verdana" w:cs="Times New Roman"/>
          <w:color w:val="333333"/>
        </w:rPr>
        <w:t>, IBank has consulted with the California Natural Resources Agency</w:t>
      </w:r>
      <w:r w:rsidR="00790AE3">
        <w:rPr>
          <w:rFonts w:ascii="Verdana" w:eastAsia="Times New Roman" w:hAnsi="Verdana" w:cs="Times New Roman"/>
          <w:color w:val="333333"/>
        </w:rPr>
        <w:t xml:space="preserve"> (“CNRA”)</w:t>
      </w:r>
      <w:r w:rsidR="0083003F">
        <w:rPr>
          <w:rFonts w:ascii="Verdana" w:eastAsia="Times New Roman" w:hAnsi="Verdana" w:cs="Times New Roman"/>
          <w:color w:val="333333"/>
        </w:rPr>
        <w:t xml:space="preserve">.  Following these consultations, IBank </w:t>
      </w:r>
      <w:r w:rsidR="00A167A9">
        <w:rPr>
          <w:rFonts w:ascii="Verdana" w:eastAsia="Times New Roman" w:hAnsi="Verdana" w:cs="Times New Roman"/>
          <w:color w:val="333333"/>
        </w:rPr>
        <w:t>has determined that the following additional categories of Projects are eligible for financing under the Fund and Program</w:t>
      </w:r>
      <w:r w:rsidRPr="00062660">
        <w:rPr>
          <w:rFonts w:ascii="Verdana" w:eastAsia="Times New Roman" w:hAnsi="Verdana" w:cs="Times New Roman"/>
          <w:color w:val="333333"/>
        </w:rPr>
        <w:t>:</w:t>
      </w:r>
    </w:p>
    <w:p w14:paraId="006BAE3E" w14:textId="77777777" w:rsidR="00062660" w:rsidRPr="00062660" w:rsidRDefault="00062660" w:rsidP="00062660">
      <w:pPr>
        <w:shd w:val="clear" w:color="auto" w:fill="FFFFFF"/>
        <w:spacing w:line="276" w:lineRule="auto"/>
        <w:jc w:val="both"/>
        <w:textAlignment w:val="baseline"/>
        <w:rPr>
          <w:rFonts w:ascii="Verdana" w:eastAsia="Times New Roman" w:hAnsi="Verdana" w:cs="Times New Roman"/>
          <w:color w:val="333333"/>
        </w:rPr>
      </w:pPr>
    </w:p>
    <w:p w14:paraId="3EF3A96D" w14:textId="083D55D9" w:rsidR="00594538" w:rsidRPr="00062660" w:rsidRDefault="00594538" w:rsidP="00062660">
      <w:pPr>
        <w:pStyle w:val="ListParagraph"/>
        <w:numPr>
          <w:ilvl w:val="0"/>
          <w:numId w:val="3"/>
        </w:numPr>
        <w:shd w:val="clear" w:color="auto" w:fill="FFFFFF"/>
        <w:spacing w:line="276" w:lineRule="auto"/>
        <w:jc w:val="both"/>
        <w:textAlignment w:val="baseline"/>
        <w:rPr>
          <w:rFonts w:ascii="Verdana" w:eastAsia="Times New Roman" w:hAnsi="Verdana" w:cs="Times New Roman"/>
          <w:color w:val="333333"/>
        </w:rPr>
      </w:pPr>
      <w:r w:rsidRPr="00062660">
        <w:rPr>
          <w:rFonts w:ascii="Verdana" w:eastAsia="Times New Roman" w:hAnsi="Verdana" w:cs="Times New Roman"/>
          <w:color w:val="333333"/>
        </w:rPr>
        <w:t>Projects that would revitalize Ca</w:t>
      </w:r>
      <w:r w:rsidR="00790AE3">
        <w:rPr>
          <w:rFonts w:ascii="Verdana" w:eastAsia="Times New Roman" w:hAnsi="Verdana" w:cs="Times New Roman"/>
          <w:color w:val="333333"/>
        </w:rPr>
        <w:t>l</w:t>
      </w:r>
      <w:r w:rsidRPr="00062660">
        <w:rPr>
          <w:rFonts w:ascii="Verdana" w:eastAsia="Times New Roman" w:hAnsi="Verdana" w:cs="Times New Roman"/>
          <w:color w:val="333333"/>
        </w:rPr>
        <w:t>ifornia’s timber industries in ways that support our goals for forest stewardship, including the beneficial use of forest fire salvage, forest thinning for wildfire threat reduction, and the development of industries and related supply chains that utilize forest biomass derived from these processes.</w:t>
      </w:r>
    </w:p>
    <w:p w14:paraId="7E1E9F57" w14:textId="3145D909" w:rsidR="00594538" w:rsidRPr="00062660" w:rsidRDefault="00594538" w:rsidP="00062660">
      <w:pPr>
        <w:shd w:val="clear" w:color="auto" w:fill="FFFFFF"/>
        <w:spacing w:line="276" w:lineRule="auto"/>
        <w:jc w:val="both"/>
        <w:textAlignment w:val="baseline"/>
        <w:rPr>
          <w:rFonts w:ascii="Verdana" w:eastAsia="Times New Roman" w:hAnsi="Verdana" w:cs="Times New Roman"/>
          <w:color w:val="333333"/>
        </w:rPr>
      </w:pPr>
    </w:p>
    <w:p w14:paraId="0F663BB7" w14:textId="52C7AD5F" w:rsidR="00763728" w:rsidRPr="00062660" w:rsidRDefault="00062660" w:rsidP="00062660">
      <w:pPr>
        <w:spacing w:line="276" w:lineRule="auto"/>
        <w:jc w:val="both"/>
        <w:rPr>
          <w:rFonts w:ascii="Verdana" w:eastAsia="Times New Roman" w:hAnsi="Verdana" w:cs="Times New Roman"/>
          <w:color w:val="333333"/>
        </w:rPr>
      </w:pPr>
      <w:r w:rsidRPr="00062660">
        <w:rPr>
          <w:rFonts w:ascii="Verdana" w:eastAsia="Times New Roman" w:hAnsi="Verdana" w:cs="Times New Roman"/>
          <w:color w:val="333333"/>
        </w:rPr>
        <w:t xml:space="preserve">In establishing this </w:t>
      </w:r>
      <w:r w:rsidR="00A167A9">
        <w:rPr>
          <w:rFonts w:ascii="Verdana" w:eastAsia="Times New Roman" w:hAnsi="Verdana" w:cs="Times New Roman"/>
          <w:color w:val="333333"/>
        </w:rPr>
        <w:t>F</w:t>
      </w:r>
      <w:r w:rsidRPr="00062660">
        <w:rPr>
          <w:rFonts w:ascii="Verdana" w:eastAsia="Times New Roman" w:hAnsi="Verdana" w:cs="Times New Roman"/>
          <w:color w:val="333333"/>
        </w:rPr>
        <w:t xml:space="preserve">inancing </w:t>
      </w:r>
      <w:r w:rsidR="00A167A9">
        <w:rPr>
          <w:rFonts w:ascii="Verdana" w:eastAsia="Times New Roman" w:hAnsi="Verdana" w:cs="Times New Roman"/>
          <w:color w:val="333333"/>
        </w:rPr>
        <w:t>P</w:t>
      </w:r>
      <w:r w:rsidRPr="00062660">
        <w:rPr>
          <w:rFonts w:ascii="Verdana" w:eastAsia="Times New Roman" w:hAnsi="Verdana" w:cs="Times New Roman"/>
          <w:color w:val="333333"/>
        </w:rPr>
        <w:t xml:space="preserve">lan, </w:t>
      </w:r>
      <w:r w:rsidR="00A167A9">
        <w:rPr>
          <w:rFonts w:ascii="Verdana" w:eastAsia="Times New Roman" w:hAnsi="Verdana" w:cs="Times New Roman"/>
          <w:color w:val="333333"/>
        </w:rPr>
        <w:t>IBank</w:t>
      </w:r>
      <w:r w:rsidRPr="00062660">
        <w:rPr>
          <w:rFonts w:ascii="Verdana" w:eastAsia="Times New Roman" w:hAnsi="Verdana" w:cs="Times New Roman"/>
          <w:color w:val="333333"/>
        </w:rPr>
        <w:t xml:space="preserve"> also clarif</w:t>
      </w:r>
      <w:r w:rsidR="00A167A9">
        <w:rPr>
          <w:rFonts w:ascii="Verdana" w:eastAsia="Times New Roman" w:hAnsi="Verdana" w:cs="Times New Roman"/>
          <w:color w:val="333333"/>
        </w:rPr>
        <w:t>ies</w:t>
      </w:r>
      <w:r w:rsidRPr="00062660">
        <w:rPr>
          <w:rFonts w:ascii="Verdana" w:eastAsia="Times New Roman" w:hAnsi="Verdana" w:cs="Times New Roman"/>
          <w:color w:val="333333"/>
        </w:rPr>
        <w:t xml:space="preserve"> the process whereby </w:t>
      </w:r>
      <w:r w:rsidR="00A167A9">
        <w:rPr>
          <w:rFonts w:ascii="Verdana" w:eastAsia="Times New Roman" w:hAnsi="Verdana" w:cs="Times New Roman"/>
          <w:color w:val="333333"/>
        </w:rPr>
        <w:t>it</w:t>
      </w:r>
      <w:r w:rsidRPr="00062660">
        <w:rPr>
          <w:rFonts w:ascii="Verdana" w:eastAsia="Times New Roman" w:hAnsi="Verdana" w:cs="Times New Roman"/>
          <w:color w:val="333333"/>
        </w:rPr>
        <w:t xml:space="preserve"> will address any </w:t>
      </w:r>
      <w:r w:rsidR="00A167A9">
        <w:rPr>
          <w:rFonts w:ascii="Verdana" w:eastAsia="Times New Roman" w:hAnsi="Verdana" w:cs="Times New Roman"/>
          <w:color w:val="333333"/>
        </w:rPr>
        <w:t>potential Project categories that are eligible for financial assistance under the broad categories set forth in Government Code Section 63048.93(f)(1), but are not specifically enumerated therein or otherwise addressed in this Financing Plan</w:t>
      </w:r>
      <w:r w:rsidRPr="00062660">
        <w:rPr>
          <w:rFonts w:ascii="Verdana" w:eastAsia="Times New Roman" w:hAnsi="Verdana" w:cs="Times New Roman"/>
          <w:color w:val="333333"/>
        </w:rPr>
        <w:t>:</w:t>
      </w:r>
    </w:p>
    <w:p w14:paraId="0881A5A2" w14:textId="70BBF2AB" w:rsidR="00062660" w:rsidRPr="00062660" w:rsidRDefault="00062660" w:rsidP="00062660">
      <w:pPr>
        <w:spacing w:line="276" w:lineRule="auto"/>
        <w:jc w:val="both"/>
        <w:rPr>
          <w:rFonts w:ascii="Verdana" w:eastAsia="Times New Roman" w:hAnsi="Verdana" w:cs="Times New Roman"/>
          <w:color w:val="333333"/>
        </w:rPr>
      </w:pPr>
    </w:p>
    <w:p w14:paraId="75597A83" w14:textId="62E8F1B0" w:rsidR="00062660" w:rsidRPr="00062660" w:rsidRDefault="00790AE3" w:rsidP="00062660">
      <w:pPr>
        <w:pStyle w:val="ListParagraph"/>
        <w:numPr>
          <w:ilvl w:val="0"/>
          <w:numId w:val="2"/>
        </w:numPr>
        <w:spacing w:line="276" w:lineRule="auto"/>
        <w:jc w:val="both"/>
        <w:rPr>
          <w:rFonts w:ascii="Verdana" w:hAnsi="Verdana"/>
        </w:rPr>
      </w:pPr>
      <w:r>
        <w:rPr>
          <w:rFonts w:ascii="Verdana" w:hAnsi="Verdana"/>
        </w:rPr>
        <w:t>IBank may further consult with CNRA for f</w:t>
      </w:r>
      <w:r w:rsidR="00062660" w:rsidRPr="00062660">
        <w:rPr>
          <w:rFonts w:ascii="Verdana" w:hAnsi="Verdana"/>
        </w:rPr>
        <w:t>orest biomass utilization projects that seek financing from the Catalyst Fun</w:t>
      </w:r>
      <w:r w:rsidR="00A167A9">
        <w:rPr>
          <w:rFonts w:ascii="Verdana" w:hAnsi="Verdana"/>
        </w:rPr>
        <w:t>d</w:t>
      </w:r>
      <w:r w:rsidR="00062660" w:rsidRPr="00062660">
        <w:rPr>
          <w:rFonts w:ascii="Verdana" w:hAnsi="Verdana"/>
        </w:rPr>
        <w:t xml:space="preserve"> that are not </w:t>
      </w:r>
      <w:r w:rsidR="00A167A9">
        <w:rPr>
          <w:rFonts w:ascii="Verdana" w:hAnsi="Verdana"/>
        </w:rPr>
        <w:t>enumerated specifically</w:t>
      </w:r>
      <w:r w:rsidR="00062660" w:rsidRPr="00062660">
        <w:rPr>
          <w:rFonts w:ascii="Verdana" w:hAnsi="Verdana"/>
        </w:rPr>
        <w:t xml:space="preserve"> under the terms of Government Code 63048.93 and</w:t>
      </w:r>
      <w:r>
        <w:rPr>
          <w:rFonts w:ascii="Verdana" w:hAnsi="Verdana"/>
        </w:rPr>
        <w:t>/or</w:t>
      </w:r>
      <w:r w:rsidR="00062660" w:rsidRPr="00062660">
        <w:rPr>
          <w:rFonts w:ascii="Verdana" w:hAnsi="Verdana"/>
        </w:rPr>
        <w:t xml:space="preserve"> included in the relevant </w:t>
      </w:r>
      <w:r w:rsidR="00A167A9">
        <w:rPr>
          <w:rFonts w:ascii="Verdana" w:hAnsi="Verdana"/>
        </w:rPr>
        <w:t>F</w:t>
      </w:r>
      <w:r w:rsidR="00062660" w:rsidRPr="00062660">
        <w:rPr>
          <w:rFonts w:ascii="Verdana" w:hAnsi="Verdana"/>
        </w:rPr>
        <w:t xml:space="preserve">inancing </w:t>
      </w:r>
      <w:r w:rsidR="00A167A9">
        <w:rPr>
          <w:rFonts w:ascii="Verdana" w:hAnsi="Verdana"/>
        </w:rPr>
        <w:t>P</w:t>
      </w:r>
      <w:r w:rsidR="00062660" w:rsidRPr="00062660">
        <w:rPr>
          <w:rFonts w:ascii="Verdana" w:hAnsi="Verdana"/>
        </w:rPr>
        <w:t>lan</w:t>
      </w:r>
      <w:r>
        <w:rPr>
          <w:rFonts w:ascii="Verdana" w:hAnsi="Verdana"/>
        </w:rPr>
        <w:t xml:space="preserve"> (an </w:t>
      </w:r>
      <w:r>
        <w:rPr>
          <w:rFonts w:ascii="Verdana" w:hAnsi="Verdana"/>
        </w:rPr>
        <w:lastRenderedPageBreak/>
        <w:t>“Unenumerated Project”)</w:t>
      </w:r>
      <w:r w:rsidR="00062660" w:rsidRPr="00062660">
        <w:rPr>
          <w:rFonts w:ascii="Verdana" w:hAnsi="Verdana"/>
        </w:rPr>
        <w:t>, bu</w:t>
      </w:r>
      <w:r w:rsidR="00A167A9">
        <w:rPr>
          <w:rFonts w:ascii="Verdana" w:hAnsi="Verdana"/>
        </w:rPr>
        <w:t>t</w:t>
      </w:r>
      <w:r w:rsidR="00062660" w:rsidRPr="00062660">
        <w:rPr>
          <w:rFonts w:ascii="Verdana" w:hAnsi="Verdana"/>
        </w:rPr>
        <w:t xml:space="preserve"> otherwise meet the underwriting criteria established by IBank</w:t>
      </w:r>
      <w:r>
        <w:rPr>
          <w:rFonts w:ascii="Verdana" w:hAnsi="Verdana"/>
        </w:rPr>
        <w:t>.</w:t>
      </w:r>
      <w:r w:rsidR="00062660" w:rsidRPr="00062660">
        <w:rPr>
          <w:rFonts w:ascii="Verdana" w:hAnsi="Verdana"/>
        </w:rPr>
        <w:t xml:space="preserve"> </w:t>
      </w:r>
    </w:p>
    <w:p w14:paraId="029E29CD" w14:textId="1FE9177F" w:rsidR="00062660" w:rsidRPr="00062660" w:rsidRDefault="00790AE3" w:rsidP="00062660">
      <w:pPr>
        <w:pStyle w:val="ListParagraph"/>
        <w:numPr>
          <w:ilvl w:val="0"/>
          <w:numId w:val="2"/>
        </w:numPr>
        <w:spacing w:line="276" w:lineRule="auto"/>
        <w:jc w:val="both"/>
        <w:rPr>
          <w:rFonts w:ascii="Verdana" w:hAnsi="Verdana"/>
        </w:rPr>
      </w:pPr>
      <w:r>
        <w:rPr>
          <w:rFonts w:ascii="Verdana" w:hAnsi="Verdana"/>
        </w:rPr>
        <w:t>Upon presentation to the Board of a potential Unenumerated Project, IBank will</w:t>
      </w:r>
      <w:r w:rsidR="00553B54">
        <w:rPr>
          <w:rFonts w:ascii="Verdana" w:hAnsi="Verdana"/>
        </w:rPr>
        <w:t xml:space="preserve"> </w:t>
      </w:r>
      <w:r w:rsidR="00D75538">
        <w:rPr>
          <w:rFonts w:ascii="Verdana" w:hAnsi="Verdana"/>
        </w:rPr>
        <w:t xml:space="preserve">provide </w:t>
      </w:r>
      <w:r w:rsidR="00684CCF">
        <w:rPr>
          <w:rFonts w:ascii="Verdana" w:hAnsi="Verdana"/>
        </w:rPr>
        <w:t>to the Board CNRA’s analyses of such Unenumerated Project’s eligibility for financing under Government Code Section 63048.93(f)(1)</w:t>
      </w:r>
      <w:r w:rsidR="00062660" w:rsidRPr="00062660">
        <w:rPr>
          <w:rFonts w:ascii="Verdana" w:hAnsi="Verdana"/>
        </w:rPr>
        <w:t>.</w:t>
      </w:r>
    </w:p>
    <w:sectPr w:rsidR="00062660" w:rsidRPr="00062660" w:rsidSect="00062660">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810B" w14:textId="77777777" w:rsidR="00160D74" w:rsidRDefault="00160D74" w:rsidP="00813AC8">
      <w:r>
        <w:separator/>
      </w:r>
    </w:p>
  </w:endnote>
  <w:endnote w:type="continuationSeparator" w:id="0">
    <w:p w14:paraId="4F4F517C" w14:textId="77777777" w:rsidR="00160D74" w:rsidRDefault="00160D74" w:rsidP="008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1324" w14:textId="77777777" w:rsidR="00160D74" w:rsidRDefault="00160D74" w:rsidP="00813AC8">
      <w:r>
        <w:separator/>
      </w:r>
    </w:p>
  </w:footnote>
  <w:footnote w:type="continuationSeparator" w:id="0">
    <w:p w14:paraId="10D9DB86" w14:textId="77777777" w:rsidR="00160D74" w:rsidRDefault="00160D74" w:rsidP="00813AC8">
      <w:r>
        <w:continuationSeparator/>
      </w:r>
    </w:p>
  </w:footnote>
  <w:footnote w:id="1">
    <w:p w14:paraId="3B19050E" w14:textId="3C1CD500" w:rsidR="00813AC8" w:rsidRDefault="00813AC8">
      <w:pPr>
        <w:pStyle w:val="FootnoteText"/>
      </w:pPr>
      <w:r>
        <w:rPr>
          <w:rStyle w:val="FootnoteReference"/>
        </w:rPr>
        <w:footnoteRef/>
      </w:r>
      <w:r>
        <w:t xml:space="preserve"> Government Code Section 63048.93(f) also identifies the California Department of Food and Agriculture</w:t>
      </w:r>
      <w:r w:rsidR="00C1290F">
        <w:t xml:space="preserve"> (“CDFA”) as a consulting agency for certain agricultural-related Projects.  However, the Legislature has not yet provided IBank with funds for this category of Projects.  Accordingly, this Financing Plan does </w:t>
      </w:r>
      <w:proofErr w:type="gramStart"/>
      <w:r w:rsidR="00C1290F">
        <w:t xml:space="preserve">not </w:t>
      </w:r>
      <w:r>
        <w:t xml:space="preserve"> </w:t>
      </w:r>
      <w:r w:rsidR="00C1290F">
        <w:t>address</w:t>
      </w:r>
      <w:proofErr w:type="gramEnd"/>
      <w:r w:rsidR="00C1290F">
        <w:t xml:space="preserve"> CDFA’s role as a consulting agency.  IBank will present to the Board</w:t>
      </w:r>
      <w:r w:rsidR="00EB130F">
        <w:t xml:space="preserve"> </w:t>
      </w:r>
      <w:r w:rsidR="00C1290F">
        <w:t xml:space="preserve">a revised Financing Plan addressing </w:t>
      </w:r>
      <w:r w:rsidR="00EB130F">
        <w:t>CDFA’s role as a consulting agency when funds have become available for these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6807"/>
    <w:multiLevelType w:val="hybridMultilevel"/>
    <w:tmpl w:val="6260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750BDD"/>
    <w:multiLevelType w:val="hybridMultilevel"/>
    <w:tmpl w:val="91E2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3F1528"/>
    <w:multiLevelType w:val="hybridMultilevel"/>
    <w:tmpl w:val="E05A7B0E"/>
    <w:lvl w:ilvl="0" w:tplc="AF6A0D98">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B3"/>
    <w:rsid w:val="000603EF"/>
    <w:rsid w:val="00062660"/>
    <w:rsid w:val="000C7896"/>
    <w:rsid w:val="00160D74"/>
    <w:rsid w:val="00185722"/>
    <w:rsid w:val="002D7DB3"/>
    <w:rsid w:val="00360F91"/>
    <w:rsid w:val="00373241"/>
    <w:rsid w:val="00553B54"/>
    <w:rsid w:val="005563E2"/>
    <w:rsid w:val="00570E04"/>
    <w:rsid w:val="00582EFE"/>
    <w:rsid w:val="00594538"/>
    <w:rsid w:val="005F6BE1"/>
    <w:rsid w:val="00684CCF"/>
    <w:rsid w:val="006C3E8F"/>
    <w:rsid w:val="0073601C"/>
    <w:rsid w:val="00763728"/>
    <w:rsid w:val="00790AE3"/>
    <w:rsid w:val="00813AC8"/>
    <w:rsid w:val="0083003F"/>
    <w:rsid w:val="00895C73"/>
    <w:rsid w:val="008B5226"/>
    <w:rsid w:val="00916F45"/>
    <w:rsid w:val="00A167A9"/>
    <w:rsid w:val="00AE4538"/>
    <w:rsid w:val="00B10ED7"/>
    <w:rsid w:val="00B122A1"/>
    <w:rsid w:val="00B825A0"/>
    <w:rsid w:val="00B96BE1"/>
    <w:rsid w:val="00BF784C"/>
    <w:rsid w:val="00C057F7"/>
    <w:rsid w:val="00C1290F"/>
    <w:rsid w:val="00C14FAA"/>
    <w:rsid w:val="00D55538"/>
    <w:rsid w:val="00D75538"/>
    <w:rsid w:val="00E32E5B"/>
    <w:rsid w:val="00E56C42"/>
    <w:rsid w:val="00E94C16"/>
    <w:rsid w:val="00EB130F"/>
    <w:rsid w:val="00EF3A5C"/>
    <w:rsid w:val="00FF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1C9B"/>
  <w15:chartTrackingRefBased/>
  <w15:docId w15:val="{A45CEDE4-0068-5744-A9AA-866A7ECC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38"/>
    <w:pPr>
      <w:ind w:left="720"/>
      <w:contextualSpacing/>
    </w:pPr>
  </w:style>
  <w:style w:type="character" w:styleId="CommentReference">
    <w:name w:val="annotation reference"/>
    <w:basedOn w:val="DefaultParagraphFont"/>
    <w:uiPriority w:val="99"/>
    <w:semiHidden/>
    <w:unhideWhenUsed/>
    <w:rsid w:val="00813AC8"/>
    <w:rPr>
      <w:sz w:val="16"/>
      <w:szCs w:val="16"/>
    </w:rPr>
  </w:style>
  <w:style w:type="paragraph" w:styleId="CommentText">
    <w:name w:val="annotation text"/>
    <w:basedOn w:val="Normal"/>
    <w:link w:val="CommentTextChar"/>
    <w:uiPriority w:val="99"/>
    <w:unhideWhenUsed/>
    <w:rsid w:val="00813AC8"/>
    <w:rPr>
      <w:sz w:val="20"/>
      <w:szCs w:val="20"/>
    </w:rPr>
  </w:style>
  <w:style w:type="character" w:customStyle="1" w:styleId="CommentTextChar">
    <w:name w:val="Comment Text Char"/>
    <w:basedOn w:val="DefaultParagraphFont"/>
    <w:link w:val="CommentText"/>
    <w:uiPriority w:val="99"/>
    <w:rsid w:val="00813AC8"/>
    <w:rPr>
      <w:sz w:val="20"/>
      <w:szCs w:val="20"/>
    </w:rPr>
  </w:style>
  <w:style w:type="paragraph" w:styleId="CommentSubject">
    <w:name w:val="annotation subject"/>
    <w:basedOn w:val="CommentText"/>
    <w:next w:val="CommentText"/>
    <w:link w:val="CommentSubjectChar"/>
    <w:uiPriority w:val="99"/>
    <w:semiHidden/>
    <w:unhideWhenUsed/>
    <w:rsid w:val="00813AC8"/>
    <w:rPr>
      <w:b/>
      <w:bCs/>
    </w:rPr>
  </w:style>
  <w:style w:type="character" w:customStyle="1" w:styleId="CommentSubjectChar">
    <w:name w:val="Comment Subject Char"/>
    <w:basedOn w:val="CommentTextChar"/>
    <w:link w:val="CommentSubject"/>
    <w:uiPriority w:val="99"/>
    <w:semiHidden/>
    <w:rsid w:val="00813AC8"/>
    <w:rPr>
      <w:b/>
      <w:bCs/>
      <w:sz w:val="20"/>
      <w:szCs w:val="20"/>
    </w:rPr>
  </w:style>
  <w:style w:type="paragraph" w:styleId="FootnoteText">
    <w:name w:val="footnote text"/>
    <w:basedOn w:val="Normal"/>
    <w:link w:val="FootnoteTextChar"/>
    <w:uiPriority w:val="99"/>
    <w:semiHidden/>
    <w:unhideWhenUsed/>
    <w:rsid w:val="00813AC8"/>
    <w:rPr>
      <w:sz w:val="20"/>
      <w:szCs w:val="20"/>
    </w:rPr>
  </w:style>
  <w:style w:type="character" w:customStyle="1" w:styleId="FootnoteTextChar">
    <w:name w:val="Footnote Text Char"/>
    <w:basedOn w:val="DefaultParagraphFont"/>
    <w:link w:val="FootnoteText"/>
    <w:uiPriority w:val="99"/>
    <w:semiHidden/>
    <w:rsid w:val="00813AC8"/>
    <w:rPr>
      <w:sz w:val="20"/>
      <w:szCs w:val="20"/>
    </w:rPr>
  </w:style>
  <w:style w:type="character" w:styleId="FootnoteReference">
    <w:name w:val="footnote reference"/>
    <w:basedOn w:val="DefaultParagraphFont"/>
    <w:uiPriority w:val="99"/>
    <w:semiHidden/>
    <w:unhideWhenUsed/>
    <w:rsid w:val="00813AC8"/>
    <w:rPr>
      <w:vertAlign w:val="superscript"/>
    </w:rPr>
  </w:style>
  <w:style w:type="paragraph" w:styleId="Revision">
    <w:name w:val="Revision"/>
    <w:hidden/>
    <w:uiPriority w:val="99"/>
    <w:semiHidden/>
    <w:rsid w:val="00E9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4705">
      <w:bodyDiv w:val="1"/>
      <w:marLeft w:val="0"/>
      <w:marRight w:val="0"/>
      <w:marTop w:val="0"/>
      <w:marBottom w:val="0"/>
      <w:divBdr>
        <w:top w:val="none" w:sz="0" w:space="0" w:color="auto"/>
        <w:left w:val="none" w:sz="0" w:space="0" w:color="auto"/>
        <w:bottom w:val="none" w:sz="0" w:space="0" w:color="auto"/>
        <w:right w:val="none" w:sz="0" w:space="0" w:color="auto"/>
      </w:divBdr>
    </w:div>
    <w:div w:id="1052462708">
      <w:bodyDiv w:val="1"/>
      <w:marLeft w:val="0"/>
      <w:marRight w:val="0"/>
      <w:marTop w:val="0"/>
      <w:marBottom w:val="0"/>
      <w:divBdr>
        <w:top w:val="none" w:sz="0" w:space="0" w:color="auto"/>
        <w:left w:val="none" w:sz="0" w:space="0" w:color="auto"/>
        <w:bottom w:val="none" w:sz="0" w:space="0" w:color="auto"/>
        <w:right w:val="none" w:sz="0" w:space="0" w:color="auto"/>
      </w:divBdr>
    </w:div>
    <w:div w:id="1544558040">
      <w:bodyDiv w:val="1"/>
      <w:marLeft w:val="0"/>
      <w:marRight w:val="0"/>
      <w:marTop w:val="0"/>
      <w:marBottom w:val="0"/>
      <w:divBdr>
        <w:top w:val="none" w:sz="0" w:space="0" w:color="auto"/>
        <w:left w:val="none" w:sz="0" w:space="0" w:color="auto"/>
        <w:bottom w:val="none" w:sz="0" w:space="0" w:color="auto"/>
        <w:right w:val="none" w:sz="0" w:space="0" w:color="auto"/>
      </w:divBdr>
      <w:divsChild>
        <w:div w:id="510150196">
          <w:marLeft w:val="0"/>
          <w:marRight w:val="0"/>
          <w:marTop w:val="0"/>
          <w:marBottom w:val="240"/>
          <w:divBdr>
            <w:top w:val="none" w:sz="0" w:space="0" w:color="auto"/>
            <w:left w:val="none" w:sz="0" w:space="0" w:color="auto"/>
            <w:bottom w:val="none" w:sz="0" w:space="0" w:color="auto"/>
            <w:right w:val="none" w:sz="0" w:space="0" w:color="auto"/>
          </w:divBdr>
        </w:div>
        <w:div w:id="1402286676">
          <w:marLeft w:val="0"/>
          <w:marRight w:val="0"/>
          <w:marTop w:val="0"/>
          <w:marBottom w:val="240"/>
          <w:divBdr>
            <w:top w:val="none" w:sz="0" w:space="0" w:color="auto"/>
            <w:left w:val="none" w:sz="0" w:space="0" w:color="auto"/>
            <w:bottom w:val="none" w:sz="0" w:space="0" w:color="auto"/>
            <w:right w:val="none" w:sz="0" w:space="0" w:color="auto"/>
          </w:divBdr>
        </w:div>
      </w:divsChild>
    </w:div>
    <w:div w:id="1871841178">
      <w:bodyDiv w:val="1"/>
      <w:marLeft w:val="0"/>
      <w:marRight w:val="0"/>
      <w:marTop w:val="0"/>
      <w:marBottom w:val="0"/>
      <w:divBdr>
        <w:top w:val="none" w:sz="0" w:space="0" w:color="auto"/>
        <w:left w:val="none" w:sz="0" w:space="0" w:color="auto"/>
        <w:bottom w:val="none" w:sz="0" w:space="0" w:color="auto"/>
        <w:right w:val="none" w:sz="0" w:space="0" w:color="auto"/>
      </w:divBdr>
      <w:divsChild>
        <w:div w:id="506411137">
          <w:marLeft w:val="0"/>
          <w:marRight w:val="0"/>
          <w:marTop w:val="0"/>
          <w:marBottom w:val="240"/>
          <w:divBdr>
            <w:top w:val="none" w:sz="0" w:space="0" w:color="auto"/>
            <w:left w:val="none" w:sz="0" w:space="0" w:color="auto"/>
            <w:bottom w:val="none" w:sz="0" w:space="0" w:color="auto"/>
            <w:right w:val="none" w:sz="0" w:space="0" w:color="auto"/>
          </w:divBdr>
        </w:div>
        <w:div w:id="875506292">
          <w:marLeft w:val="0"/>
          <w:marRight w:val="0"/>
          <w:marTop w:val="0"/>
          <w:marBottom w:val="240"/>
          <w:divBdr>
            <w:top w:val="none" w:sz="0" w:space="0" w:color="auto"/>
            <w:left w:val="none" w:sz="0" w:space="0" w:color="auto"/>
            <w:bottom w:val="none" w:sz="0" w:space="0" w:color="auto"/>
            <w:right w:val="none" w:sz="0" w:space="0" w:color="auto"/>
          </w:divBdr>
        </w:div>
        <w:div w:id="841820474">
          <w:marLeft w:val="0"/>
          <w:marRight w:val="0"/>
          <w:marTop w:val="0"/>
          <w:marBottom w:val="240"/>
          <w:divBdr>
            <w:top w:val="none" w:sz="0" w:space="0" w:color="auto"/>
            <w:left w:val="none" w:sz="0" w:space="0" w:color="auto"/>
            <w:bottom w:val="none" w:sz="0" w:space="0" w:color="auto"/>
            <w:right w:val="none" w:sz="0" w:space="0" w:color="auto"/>
          </w:divBdr>
        </w:div>
        <w:div w:id="938216566">
          <w:marLeft w:val="0"/>
          <w:marRight w:val="0"/>
          <w:marTop w:val="0"/>
          <w:marBottom w:val="240"/>
          <w:divBdr>
            <w:top w:val="none" w:sz="0" w:space="0" w:color="auto"/>
            <w:left w:val="none" w:sz="0" w:space="0" w:color="auto"/>
            <w:bottom w:val="none" w:sz="0" w:space="0" w:color="auto"/>
            <w:right w:val="none" w:sz="0" w:space="0" w:color="auto"/>
          </w:divBdr>
        </w:div>
        <w:div w:id="343214720">
          <w:marLeft w:val="0"/>
          <w:marRight w:val="0"/>
          <w:marTop w:val="0"/>
          <w:marBottom w:val="240"/>
          <w:divBdr>
            <w:top w:val="none" w:sz="0" w:space="0" w:color="auto"/>
            <w:left w:val="none" w:sz="0" w:space="0" w:color="auto"/>
            <w:bottom w:val="none" w:sz="0" w:space="0" w:color="auto"/>
            <w:right w:val="none" w:sz="0" w:space="0" w:color="auto"/>
          </w:divBdr>
        </w:div>
        <w:div w:id="1797718587">
          <w:marLeft w:val="0"/>
          <w:marRight w:val="0"/>
          <w:marTop w:val="0"/>
          <w:marBottom w:val="240"/>
          <w:divBdr>
            <w:top w:val="none" w:sz="0" w:space="0" w:color="auto"/>
            <w:left w:val="none" w:sz="0" w:space="0" w:color="auto"/>
            <w:bottom w:val="none" w:sz="0" w:space="0" w:color="auto"/>
            <w:right w:val="none" w:sz="0" w:space="0" w:color="auto"/>
          </w:divBdr>
        </w:div>
        <w:div w:id="749079400">
          <w:marLeft w:val="0"/>
          <w:marRight w:val="0"/>
          <w:marTop w:val="0"/>
          <w:marBottom w:val="240"/>
          <w:divBdr>
            <w:top w:val="none" w:sz="0" w:space="0" w:color="auto"/>
            <w:left w:val="none" w:sz="0" w:space="0" w:color="auto"/>
            <w:bottom w:val="none" w:sz="0" w:space="0" w:color="auto"/>
            <w:right w:val="none" w:sz="0" w:space="0" w:color="auto"/>
          </w:divBdr>
        </w:div>
        <w:div w:id="299917019">
          <w:marLeft w:val="0"/>
          <w:marRight w:val="0"/>
          <w:marTop w:val="0"/>
          <w:marBottom w:val="240"/>
          <w:divBdr>
            <w:top w:val="none" w:sz="0" w:space="0" w:color="auto"/>
            <w:left w:val="none" w:sz="0" w:space="0" w:color="auto"/>
            <w:bottom w:val="none" w:sz="0" w:space="0" w:color="auto"/>
            <w:right w:val="none" w:sz="0" w:space="0" w:color="auto"/>
          </w:divBdr>
        </w:div>
        <w:div w:id="570694012">
          <w:marLeft w:val="0"/>
          <w:marRight w:val="0"/>
          <w:marTop w:val="0"/>
          <w:marBottom w:val="240"/>
          <w:divBdr>
            <w:top w:val="none" w:sz="0" w:space="0" w:color="auto"/>
            <w:left w:val="none" w:sz="0" w:space="0" w:color="auto"/>
            <w:bottom w:val="none" w:sz="0" w:space="0" w:color="auto"/>
            <w:right w:val="none" w:sz="0" w:space="0" w:color="auto"/>
          </w:divBdr>
        </w:div>
        <w:div w:id="1106658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74D1-7CB6-4661-A2C6-56C5D3BF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Adler</dc:creator>
  <cp:keywords/>
  <dc:description/>
  <cp:lastModifiedBy>Daniel Adler</cp:lastModifiedBy>
  <cp:revision>3</cp:revision>
  <dcterms:created xsi:type="dcterms:W3CDTF">2021-12-19T01:53:00Z</dcterms:created>
  <dcterms:modified xsi:type="dcterms:W3CDTF">2021-12-19T01:54:00Z</dcterms:modified>
</cp:coreProperties>
</file>