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841931" w14:textId="59EF9AD0" w:rsidR="007F4071" w:rsidRDefault="007F4071" w:rsidP="0067432D">
      <w:pPr>
        <w:pStyle w:val="Title"/>
      </w:pPr>
      <w:r>
        <w:fldChar w:fldCharType="begin"/>
      </w:r>
      <w:r>
        <w:instrText xml:space="preserve">  </w:instrText>
      </w:r>
      <w:r>
        <w:fldChar w:fldCharType="end"/>
      </w:r>
      <w:r w:rsidRPr="002B5FD8">
        <w:t>CALIFORNIA INFRASTRUCTURE AND ECONOMIC</w:t>
      </w:r>
    </w:p>
    <w:p w14:paraId="59C71A6E" w14:textId="581304BD" w:rsidR="007F4071" w:rsidRPr="0067432D" w:rsidRDefault="007F4071" w:rsidP="0067432D">
      <w:pPr>
        <w:jc w:val="center"/>
        <w:rPr>
          <w:b/>
          <w:sz w:val="28"/>
        </w:rPr>
      </w:pPr>
      <w:r>
        <w:rPr>
          <w:b/>
          <w:sz w:val="28"/>
        </w:rPr>
        <w:t>DEVELOPMENT BANK</w:t>
      </w:r>
    </w:p>
    <w:p w14:paraId="464DDF8D" w14:textId="6CA9A511" w:rsidR="007F4071" w:rsidRPr="0067432D" w:rsidRDefault="007F4071" w:rsidP="0067432D">
      <w:pPr>
        <w:jc w:val="center"/>
        <w:rPr>
          <w:b/>
          <w:sz w:val="28"/>
        </w:rPr>
      </w:pPr>
    </w:p>
    <w:p w14:paraId="34860C26" w14:textId="0AAF1E3A" w:rsidR="007F4071" w:rsidRDefault="007F4071" w:rsidP="00191ADD">
      <w:pPr>
        <w:jc w:val="center"/>
        <w:rPr>
          <w:b/>
          <w:sz w:val="28"/>
        </w:rPr>
      </w:pPr>
      <w:r>
        <w:rPr>
          <w:b/>
          <w:sz w:val="28"/>
        </w:rPr>
        <w:t>Policies and Procedures for Conduit Revenue Bond</w:t>
      </w:r>
      <w:r w:rsidR="00191ADD">
        <w:rPr>
          <w:b/>
          <w:sz w:val="28"/>
        </w:rPr>
        <w:t>s</w:t>
      </w:r>
      <w:r>
        <w:rPr>
          <w:b/>
          <w:sz w:val="28"/>
        </w:rPr>
        <w:t xml:space="preserve"> Financing</w:t>
      </w:r>
    </w:p>
    <w:p w14:paraId="158CE52D" w14:textId="7B2758DB" w:rsidR="007F4071" w:rsidRPr="0067432D" w:rsidRDefault="007F4071" w:rsidP="0067432D">
      <w:pPr>
        <w:jc w:val="center"/>
        <w:rPr>
          <w:b/>
          <w:sz w:val="28"/>
        </w:rPr>
      </w:pPr>
      <w:r>
        <w:rPr>
          <w:b/>
          <w:sz w:val="28"/>
        </w:rPr>
        <w:t>for Economic Development Facilities</w:t>
      </w:r>
    </w:p>
    <w:p w14:paraId="59409AE1" w14:textId="2F88C155" w:rsidR="007F4071" w:rsidRPr="0067432D" w:rsidRDefault="007F4071" w:rsidP="0067432D">
      <w:pPr>
        <w:rPr>
          <w:sz w:val="24"/>
        </w:rPr>
      </w:pPr>
    </w:p>
    <w:p w14:paraId="1E829809" w14:textId="31B4CE9D" w:rsidR="007F4071" w:rsidRPr="0067432D" w:rsidRDefault="007F4071" w:rsidP="0067432D">
      <w:pPr>
        <w:rPr>
          <w:color w:val="000000"/>
          <w:sz w:val="24"/>
          <w:szCs w:val="24"/>
        </w:rPr>
      </w:pPr>
      <w:r w:rsidRPr="0067432D">
        <w:rPr>
          <w:sz w:val="24"/>
        </w:rPr>
        <w:t xml:space="preserve">Note:  </w:t>
      </w:r>
      <w:r w:rsidR="00D921A3" w:rsidRPr="0067432D">
        <w:rPr>
          <w:sz w:val="24"/>
          <w:szCs w:val="24"/>
        </w:rPr>
        <w:t>Unless defined specifically herein, a</w:t>
      </w:r>
      <w:r w:rsidRPr="0067432D">
        <w:rPr>
          <w:sz w:val="24"/>
          <w:szCs w:val="24"/>
        </w:rPr>
        <w:t xml:space="preserve">ll </w:t>
      </w:r>
      <w:r w:rsidR="003869F2" w:rsidRPr="0067432D">
        <w:rPr>
          <w:sz w:val="24"/>
          <w:szCs w:val="24"/>
        </w:rPr>
        <w:t xml:space="preserve">words and </w:t>
      </w:r>
      <w:r w:rsidRPr="0067432D">
        <w:rPr>
          <w:sz w:val="24"/>
          <w:szCs w:val="24"/>
        </w:rPr>
        <w:t>terms</w:t>
      </w:r>
      <w:r w:rsidR="003869F2" w:rsidRPr="0067432D">
        <w:rPr>
          <w:sz w:val="24"/>
          <w:szCs w:val="24"/>
        </w:rPr>
        <w:t xml:space="preserve"> with their initial letters capitalized shall</w:t>
      </w:r>
      <w:r w:rsidRPr="0067432D">
        <w:rPr>
          <w:sz w:val="24"/>
          <w:szCs w:val="24"/>
        </w:rPr>
        <w:t xml:space="preserve"> have the same meaning as contained in </w:t>
      </w:r>
      <w:hyperlink r:id="rId7" w:history="1">
        <w:r w:rsidR="00191ADD" w:rsidRPr="0067432D">
          <w:rPr>
            <w:color w:val="0563C1"/>
            <w:sz w:val="24"/>
            <w:szCs w:val="24"/>
            <w:u w:val="single"/>
          </w:rPr>
          <w:t>Government Code Section 63010</w:t>
        </w:r>
      </w:hyperlink>
      <w:r w:rsidRPr="0067432D">
        <w:rPr>
          <w:sz w:val="24"/>
          <w:szCs w:val="24"/>
        </w:rPr>
        <w:t>.</w:t>
      </w:r>
    </w:p>
    <w:p w14:paraId="130F5322" w14:textId="00671F47" w:rsidR="007F4071" w:rsidRPr="0067432D" w:rsidRDefault="007F4071" w:rsidP="0067432D">
      <w:pPr>
        <w:rPr>
          <w:sz w:val="24"/>
          <w:szCs w:val="24"/>
        </w:rPr>
      </w:pPr>
    </w:p>
    <w:p w14:paraId="4DF50C3A" w14:textId="0F2789CA" w:rsidR="007F4071" w:rsidRPr="0067432D" w:rsidRDefault="007F4071" w:rsidP="0067432D">
      <w:pPr>
        <w:numPr>
          <w:ilvl w:val="0"/>
          <w:numId w:val="1"/>
        </w:numPr>
        <w:ind w:left="540" w:hanging="540"/>
        <w:rPr>
          <w:sz w:val="24"/>
          <w:szCs w:val="24"/>
        </w:rPr>
      </w:pPr>
      <w:r w:rsidRPr="0067432D">
        <w:rPr>
          <w:b/>
          <w:sz w:val="24"/>
          <w:szCs w:val="24"/>
          <w:u w:val="single"/>
        </w:rPr>
        <w:t>Eligible Projects</w:t>
      </w:r>
    </w:p>
    <w:p w14:paraId="4CE2F4D8" w14:textId="77777777" w:rsidR="007F4071" w:rsidRPr="0067432D" w:rsidRDefault="007F4071">
      <w:pPr>
        <w:rPr>
          <w:sz w:val="24"/>
          <w:szCs w:val="24"/>
        </w:rPr>
      </w:pPr>
    </w:p>
    <w:p w14:paraId="39D7F243" w14:textId="77777777" w:rsidR="00EE41FF" w:rsidRPr="0067432D" w:rsidRDefault="004D515E" w:rsidP="00EE41FF">
      <w:pPr>
        <w:numPr>
          <w:ilvl w:val="0"/>
          <w:numId w:val="2"/>
        </w:numPr>
        <w:jc w:val="both"/>
        <w:rPr>
          <w:sz w:val="24"/>
          <w:szCs w:val="24"/>
        </w:rPr>
      </w:pPr>
      <w:hyperlink r:id="rId8" w:history="1">
        <w:r w:rsidR="007F4071" w:rsidRPr="0067432D">
          <w:rPr>
            <w:rStyle w:val="Hyperlink"/>
            <w:sz w:val="24"/>
            <w:szCs w:val="24"/>
          </w:rPr>
          <w:t>Eligible projects</w:t>
        </w:r>
      </w:hyperlink>
      <w:r w:rsidR="007F4071" w:rsidRPr="0067432D">
        <w:rPr>
          <w:sz w:val="24"/>
          <w:szCs w:val="24"/>
        </w:rPr>
        <w:t xml:space="preserve"> </w:t>
      </w:r>
      <w:r w:rsidR="00D921A3" w:rsidRPr="0067432D">
        <w:rPr>
          <w:sz w:val="24"/>
          <w:szCs w:val="24"/>
        </w:rPr>
        <w:t xml:space="preserve">are one or more </w:t>
      </w:r>
      <w:hyperlink r:id="rId9" w:history="1">
        <w:r w:rsidR="006134ED" w:rsidRPr="0067432D">
          <w:rPr>
            <w:color w:val="0563C1"/>
            <w:sz w:val="24"/>
            <w:szCs w:val="24"/>
            <w:u w:val="single"/>
          </w:rPr>
          <w:t>Economic Development Facilities</w:t>
        </w:r>
      </w:hyperlink>
      <w:r w:rsidR="00B264B6" w:rsidRPr="0067432D">
        <w:rPr>
          <w:color w:val="0563C1"/>
          <w:sz w:val="24"/>
          <w:szCs w:val="24"/>
          <w:u w:val="single"/>
        </w:rPr>
        <w:t>, or any part thereof</w:t>
      </w:r>
      <w:r w:rsidR="006134ED" w:rsidRPr="0067432D">
        <w:rPr>
          <w:sz w:val="24"/>
          <w:szCs w:val="24"/>
        </w:rPr>
        <w:t>.</w:t>
      </w:r>
    </w:p>
    <w:p w14:paraId="2C75CE7B" w14:textId="77777777" w:rsidR="00EE41FF" w:rsidRPr="0067432D" w:rsidRDefault="00EE41FF" w:rsidP="00EE41FF">
      <w:pPr>
        <w:jc w:val="both"/>
        <w:rPr>
          <w:sz w:val="24"/>
          <w:szCs w:val="24"/>
        </w:rPr>
      </w:pPr>
    </w:p>
    <w:p w14:paraId="3E7F0BDE" w14:textId="6337391C" w:rsidR="006E63EE" w:rsidRPr="0067432D" w:rsidRDefault="006E63EE" w:rsidP="0067432D">
      <w:pPr>
        <w:numPr>
          <w:ilvl w:val="0"/>
          <w:numId w:val="2"/>
        </w:numPr>
        <w:jc w:val="both"/>
        <w:rPr>
          <w:color w:val="000000"/>
          <w:sz w:val="24"/>
          <w:szCs w:val="24"/>
        </w:rPr>
      </w:pPr>
      <w:r w:rsidRPr="0067432D">
        <w:rPr>
          <w:sz w:val="24"/>
          <w:szCs w:val="24"/>
        </w:rPr>
        <w:t>It is the policy of the</w:t>
      </w:r>
      <w:r w:rsidR="003869F2" w:rsidRPr="0067432D">
        <w:rPr>
          <w:sz w:val="24"/>
          <w:szCs w:val="24"/>
        </w:rPr>
        <w:t xml:space="preserve"> California</w:t>
      </w:r>
      <w:r w:rsidRPr="0067432D">
        <w:rPr>
          <w:sz w:val="24"/>
          <w:szCs w:val="24"/>
        </w:rPr>
        <w:t xml:space="preserve"> Infrastructure</w:t>
      </w:r>
      <w:r w:rsidR="003869F2" w:rsidRPr="0067432D">
        <w:rPr>
          <w:sz w:val="24"/>
          <w:szCs w:val="24"/>
        </w:rPr>
        <w:t xml:space="preserve"> and Economic Development</w:t>
      </w:r>
      <w:r w:rsidRPr="0067432D">
        <w:rPr>
          <w:sz w:val="24"/>
          <w:szCs w:val="24"/>
        </w:rPr>
        <w:t xml:space="preserve"> Bank</w:t>
      </w:r>
      <w:r w:rsidR="003869F2" w:rsidRPr="0067432D">
        <w:rPr>
          <w:sz w:val="24"/>
          <w:szCs w:val="24"/>
        </w:rPr>
        <w:t xml:space="preserve"> (“IBank”)</w:t>
      </w:r>
      <w:r w:rsidRPr="0067432D">
        <w:rPr>
          <w:sz w:val="24"/>
          <w:szCs w:val="24"/>
        </w:rPr>
        <w:t xml:space="preserve"> to avoid the duplication, inefficiency, market confusion, and poor public policy outcomes that would result from State of California conduit revenue bond issuers competing to issue </w:t>
      </w:r>
      <w:r w:rsidR="00D646D1" w:rsidRPr="0067432D">
        <w:rPr>
          <w:sz w:val="24"/>
          <w:szCs w:val="24"/>
        </w:rPr>
        <w:t>bonds</w:t>
      </w:r>
      <w:r w:rsidRPr="0067432D">
        <w:rPr>
          <w:sz w:val="24"/>
          <w:szCs w:val="24"/>
        </w:rPr>
        <w:t xml:space="preserve"> to finance the same project or similar projects. In recognition of this policy:</w:t>
      </w:r>
    </w:p>
    <w:p w14:paraId="2AF70C8E" w14:textId="2CA228CE" w:rsidR="006E63EE" w:rsidRPr="0067432D" w:rsidRDefault="006E63EE" w:rsidP="006E63EE">
      <w:pPr>
        <w:ind w:left="900"/>
        <w:rPr>
          <w:strike/>
          <w:sz w:val="24"/>
          <w:szCs w:val="24"/>
        </w:rPr>
      </w:pPr>
    </w:p>
    <w:p w14:paraId="62A9734F" w14:textId="44922F59" w:rsidR="006E63EE" w:rsidRPr="0067432D" w:rsidRDefault="002044AE" w:rsidP="0067432D">
      <w:pPr>
        <w:numPr>
          <w:ilvl w:val="0"/>
          <w:numId w:val="38"/>
        </w:numPr>
        <w:overflowPunct/>
        <w:autoSpaceDE/>
        <w:autoSpaceDN/>
        <w:adjustRightInd/>
        <w:ind w:right="720"/>
        <w:jc w:val="both"/>
        <w:textAlignment w:val="auto"/>
        <w:rPr>
          <w:sz w:val="24"/>
          <w:szCs w:val="24"/>
        </w:rPr>
      </w:pPr>
      <w:r w:rsidRPr="0067432D">
        <w:rPr>
          <w:sz w:val="24"/>
          <w:szCs w:val="24"/>
        </w:rPr>
        <w:t>IBank</w:t>
      </w:r>
      <w:r w:rsidR="006E63EE" w:rsidRPr="0067432D">
        <w:rPr>
          <w:sz w:val="24"/>
          <w:szCs w:val="24"/>
        </w:rPr>
        <w:t xml:space="preserve"> may issue bonds to finance an </w:t>
      </w:r>
      <w:r w:rsidR="00B44807" w:rsidRPr="0067432D">
        <w:rPr>
          <w:sz w:val="24"/>
          <w:szCs w:val="24"/>
        </w:rPr>
        <w:t xml:space="preserve">Economic Development Facility </w:t>
      </w:r>
      <w:r w:rsidR="006E63EE" w:rsidRPr="0067432D">
        <w:rPr>
          <w:sz w:val="24"/>
          <w:szCs w:val="24"/>
        </w:rPr>
        <w:t xml:space="preserve">project that is statutorily authorized to be financed through </w:t>
      </w:r>
      <w:r w:rsidR="00D646D1" w:rsidRPr="0067432D">
        <w:rPr>
          <w:sz w:val="24"/>
          <w:szCs w:val="24"/>
        </w:rPr>
        <w:t>bonds</w:t>
      </w:r>
      <w:r w:rsidR="006E63EE" w:rsidRPr="0067432D">
        <w:rPr>
          <w:sz w:val="24"/>
          <w:szCs w:val="24"/>
        </w:rPr>
        <w:t xml:space="preserve"> issued by another State of California conduit revenue bond issuer if the project or a portion thereof has been previously financed by </w:t>
      </w:r>
      <w:r w:rsidR="00D646D1" w:rsidRPr="0067432D">
        <w:rPr>
          <w:sz w:val="24"/>
          <w:szCs w:val="24"/>
        </w:rPr>
        <w:t>bonds</w:t>
      </w:r>
      <w:r w:rsidR="006E63EE" w:rsidRPr="0067432D">
        <w:rPr>
          <w:sz w:val="24"/>
          <w:szCs w:val="24"/>
        </w:rPr>
        <w:t xml:space="preserve"> issued by </w:t>
      </w:r>
      <w:r w:rsidRPr="0067432D">
        <w:rPr>
          <w:sz w:val="24"/>
          <w:szCs w:val="24"/>
        </w:rPr>
        <w:t>IBank</w:t>
      </w:r>
      <w:r w:rsidR="006E63EE" w:rsidRPr="0067432D">
        <w:rPr>
          <w:sz w:val="24"/>
          <w:szCs w:val="24"/>
        </w:rPr>
        <w:t xml:space="preserve"> or a predecessor of </w:t>
      </w:r>
      <w:r w:rsidRPr="0067432D">
        <w:rPr>
          <w:sz w:val="24"/>
          <w:szCs w:val="24"/>
        </w:rPr>
        <w:t>IBank</w:t>
      </w:r>
      <w:r w:rsidR="006E63EE" w:rsidRPr="0067432D">
        <w:rPr>
          <w:sz w:val="24"/>
          <w:szCs w:val="24"/>
        </w:rPr>
        <w:t xml:space="preserve"> (as of the date of the adoption of this policy, the former California Economic Development Financing Authority)</w:t>
      </w:r>
      <w:r w:rsidR="00EE41FF" w:rsidRPr="0067432D">
        <w:rPr>
          <w:sz w:val="24"/>
          <w:szCs w:val="24"/>
        </w:rPr>
        <w:t>,</w:t>
      </w:r>
      <w:r w:rsidR="006E63EE" w:rsidRPr="0067432D">
        <w:rPr>
          <w:sz w:val="24"/>
          <w:szCs w:val="24"/>
        </w:rPr>
        <w:t xml:space="preserve"> and the proposed financing includes a refunding of those </w:t>
      </w:r>
      <w:r w:rsidR="00D646D1" w:rsidRPr="0067432D">
        <w:rPr>
          <w:sz w:val="24"/>
          <w:szCs w:val="24"/>
        </w:rPr>
        <w:t>bonds</w:t>
      </w:r>
      <w:r w:rsidR="006E63EE" w:rsidRPr="0067432D">
        <w:rPr>
          <w:sz w:val="24"/>
          <w:szCs w:val="24"/>
        </w:rPr>
        <w:t xml:space="preserve"> or to otherwise finance the previously financed project.  </w:t>
      </w:r>
    </w:p>
    <w:p w14:paraId="19B981BB" w14:textId="372F4DD0" w:rsidR="006E63EE" w:rsidRPr="0067432D" w:rsidRDefault="006E63EE" w:rsidP="0067432D">
      <w:pPr>
        <w:ind w:left="1260" w:right="720"/>
        <w:jc w:val="both"/>
        <w:rPr>
          <w:sz w:val="24"/>
          <w:szCs w:val="24"/>
        </w:rPr>
      </w:pPr>
    </w:p>
    <w:p w14:paraId="7CB2A937" w14:textId="63C6A82F" w:rsidR="00EE41FF" w:rsidRPr="0067432D" w:rsidRDefault="006E63EE" w:rsidP="0067432D">
      <w:pPr>
        <w:numPr>
          <w:ilvl w:val="0"/>
          <w:numId w:val="38"/>
        </w:numPr>
        <w:overflowPunct/>
        <w:autoSpaceDE/>
        <w:autoSpaceDN/>
        <w:adjustRightInd/>
        <w:ind w:right="720"/>
        <w:jc w:val="both"/>
        <w:textAlignment w:val="auto"/>
        <w:rPr>
          <w:color w:val="000000"/>
          <w:sz w:val="24"/>
          <w:szCs w:val="24"/>
        </w:rPr>
      </w:pPr>
      <w:r w:rsidRPr="0067432D">
        <w:rPr>
          <w:sz w:val="24"/>
          <w:szCs w:val="24"/>
        </w:rPr>
        <w:t xml:space="preserve">Upon receipt of an application or inquiry from a potential applicant for financing of an economic development facility project that </w:t>
      </w:r>
      <w:r w:rsidR="002044AE" w:rsidRPr="0067432D">
        <w:rPr>
          <w:sz w:val="24"/>
          <w:szCs w:val="24"/>
        </w:rPr>
        <w:t>IBank</w:t>
      </w:r>
      <w:r w:rsidRPr="0067432D">
        <w:rPr>
          <w:sz w:val="24"/>
          <w:szCs w:val="24"/>
        </w:rPr>
        <w:t xml:space="preserve"> staff has reason to believe is statutorily authorized to be financed </w:t>
      </w:r>
      <w:r w:rsidR="00EE41FF" w:rsidRPr="0067432D">
        <w:rPr>
          <w:sz w:val="24"/>
          <w:szCs w:val="24"/>
        </w:rPr>
        <w:t>or</w:t>
      </w:r>
      <w:r w:rsidRPr="0067432D">
        <w:rPr>
          <w:sz w:val="24"/>
          <w:szCs w:val="24"/>
        </w:rPr>
        <w:t xml:space="preserve"> issued by another State conduit revenue bond issuer, and which does not fall within the scope of subparagraph 1. </w:t>
      </w:r>
      <w:r w:rsidR="00097F3D" w:rsidRPr="0067432D">
        <w:rPr>
          <w:sz w:val="24"/>
          <w:szCs w:val="24"/>
        </w:rPr>
        <w:t>above</w:t>
      </w:r>
      <w:r w:rsidRPr="0067432D">
        <w:rPr>
          <w:sz w:val="24"/>
          <w:szCs w:val="24"/>
        </w:rPr>
        <w:t xml:space="preserve">, </w:t>
      </w:r>
      <w:r w:rsidR="002044AE" w:rsidRPr="0067432D">
        <w:rPr>
          <w:sz w:val="24"/>
          <w:szCs w:val="24"/>
        </w:rPr>
        <w:t>IBank</w:t>
      </w:r>
      <w:r w:rsidRPr="0067432D">
        <w:rPr>
          <w:sz w:val="24"/>
          <w:szCs w:val="24"/>
        </w:rPr>
        <w:t xml:space="preserve"> Executive Director shall contact the Executive Director of the other State conduit revenue bond issuer to discuss which issuer is the most appropriate to issue </w:t>
      </w:r>
      <w:r w:rsidR="00D646D1" w:rsidRPr="0067432D">
        <w:rPr>
          <w:sz w:val="24"/>
          <w:szCs w:val="24"/>
        </w:rPr>
        <w:t>bonds</w:t>
      </w:r>
      <w:r w:rsidRPr="0067432D">
        <w:rPr>
          <w:sz w:val="24"/>
          <w:szCs w:val="24"/>
        </w:rPr>
        <w:t xml:space="preserve"> to finance the project. Following that discussion</w:t>
      </w:r>
      <w:r w:rsidR="000371B8" w:rsidRPr="0067432D">
        <w:rPr>
          <w:sz w:val="24"/>
          <w:szCs w:val="24"/>
        </w:rPr>
        <w:t xml:space="preserve"> </w:t>
      </w:r>
      <w:r w:rsidR="00EE41FF" w:rsidRPr="0067432D">
        <w:rPr>
          <w:sz w:val="24"/>
          <w:szCs w:val="24"/>
        </w:rPr>
        <w:t>and</w:t>
      </w:r>
      <w:r w:rsidRPr="0067432D">
        <w:rPr>
          <w:sz w:val="24"/>
          <w:szCs w:val="24"/>
        </w:rPr>
        <w:t xml:space="preserve"> after taking into consideration the information shared by the Executive Director of the other State conduit revenue bond issuer, the Executive Director of </w:t>
      </w:r>
      <w:r w:rsidR="002044AE" w:rsidRPr="0067432D">
        <w:rPr>
          <w:sz w:val="24"/>
          <w:szCs w:val="24"/>
        </w:rPr>
        <w:t>IBank</w:t>
      </w:r>
      <w:r w:rsidRPr="0067432D">
        <w:rPr>
          <w:sz w:val="24"/>
          <w:szCs w:val="24"/>
        </w:rPr>
        <w:t xml:space="preserve"> shall determine whether to recommend the issuance of </w:t>
      </w:r>
      <w:r w:rsidR="00D646D1" w:rsidRPr="0067432D">
        <w:rPr>
          <w:sz w:val="24"/>
          <w:szCs w:val="24"/>
        </w:rPr>
        <w:t>bonds</w:t>
      </w:r>
      <w:r w:rsidRPr="0067432D">
        <w:rPr>
          <w:sz w:val="24"/>
          <w:szCs w:val="24"/>
        </w:rPr>
        <w:t xml:space="preserve"> for such economic development project to the </w:t>
      </w:r>
      <w:r w:rsidR="002044AE" w:rsidRPr="0067432D">
        <w:rPr>
          <w:sz w:val="24"/>
          <w:szCs w:val="24"/>
        </w:rPr>
        <w:t>IBank</w:t>
      </w:r>
      <w:r w:rsidRPr="0067432D">
        <w:rPr>
          <w:sz w:val="24"/>
          <w:szCs w:val="24"/>
        </w:rPr>
        <w:t xml:space="preserve"> Board of Directors</w:t>
      </w:r>
      <w:r w:rsidR="00404959" w:rsidRPr="0067432D">
        <w:rPr>
          <w:sz w:val="24"/>
          <w:szCs w:val="24"/>
        </w:rPr>
        <w:t xml:space="preserve"> (the “Board”)</w:t>
      </w:r>
      <w:r w:rsidRPr="0067432D">
        <w:rPr>
          <w:sz w:val="24"/>
          <w:szCs w:val="24"/>
        </w:rPr>
        <w:t xml:space="preserve">. </w:t>
      </w:r>
      <w:r w:rsidR="00EE41FF" w:rsidRPr="0067432D">
        <w:rPr>
          <w:sz w:val="24"/>
          <w:szCs w:val="24"/>
        </w:rPr>
        <w:t xml:space="preserve"> </w:t>
      </w:r>
    </w:p>
    <w:p w14:paraId="6D128B5A" w14:textId="7063FAC1" w:rsidR="00EE41FF" w:rsidRPr="0067432D" w:rsidRDefault="00EE41FF" w:rsidP="0067432D">
      <w:pPr>
        <w:overflowPunct/>
        <w:autoSpaceDE/>
        <w:autoSpaceDN/>
        <w:adjustRightInd/>
        <w:ind w:right="720"/>
        <w:jc w:val="both"/>
        <w:textAlignment w:val="auto"/>
        <w:rPr>
          <w:sz w:val="24"/>
          <w:szCs w:val="24"/>
        </w:rPr>
      </w:pPr>
    </w:p>
    <w:p w14:paraId="7B78FCF1" w14:textId="430BC22D" w:rsidR="006E63EE" w:rsidRPr="0067432D" w:rsidRDefault="006E63EE" w:rsidP="0067432D">
      <w:pPr>
        <w:numPr>
          <w:ilvl w:val="0"/>
          <w:numId w:val="38"/>
        </w:numPr>
        <w:overflowPunct/>
        <w:autoSpaceDE/>
        <w:autoSpaceDN/>
        <w:adjustRightInd/>
        <w:ind w:right="720"/>
        <w:jc w:val="both"/>
        <w:textAlignment w:val="auto"/>
        <w:rPr>
          <w:color w:val="000000"/>
          <w:sz w:val="24"/>
          <w:szCs w:val="24"/>
        </w:rPr>
      </w:pPr>
      <w:r w:rsidRPr="0067432D">
        <w:rPr>
          <w:sz w:val="24"/>
          <w:szCs w:val="24"/>
        </w:rPr>
        <w:t xml:space="preserve">In reaching the determination under subparagraph 2. above, the Executive Director shall consider:  </w:t>
      </w:r>
    </w:p>
    <w:p w14:paraId="6B8CB67D" w14:textId="77777777" w:rsidR="00EE41FF" w:rsidRPr="00EE41FF" w:rsidRDefault="00EE41FF" w:rsidP="00EE41FF">
      <w:pPr>
        <w:overflowPunct/>
        <w:autoSpaceDE/>
        <w:autoSpaceDN/>
        <w:adjustRightInd/>
        <w:ind w:left="1620" w:right="720"/>
        <w:jc w:val="both"/>
        <w:textAlignment w:val="auto"/>
        <w:rPr>
          <w:sz w:val="24"/>
          <w:szCs w:val="24"/>
        </w:rPr>
      </w:pPr>
    </w:p>
    <w:p w14:paraId="1041CCE1" w14:textId="1707E657" w:rsidR="00044206" w:rsidRPr="001D4321" w:rsidRDefault="006E63EE" w:rsidP="00EE41FF">
      <w:pPr>
        <w:pStyle w:val="ListParagraph"/>
        <w:numPr>
          <w:ilvl w:val="0"/>
          <w:numId w:val="37"/>
        </w:numPr>
        <w:spacing w:after="0" w:line="240" w:lineRule="auto"/>
        <w:ind w:right="720"/>
        <w:contextualSpacing/>
        <w:jc w:val="both"/>
        <w:rPr>
          <w:rFonts w:ascii="Times New Roman" w:hAnsi="Times New Roman"/>
          <w:sz w:val="24"/>
          <w:szCs w:val="24"/>
        </w:rPr>
      </w:pPr>
      <w:r w:rsidRPr="0067432D">
        <w:rPr>
          <w:rFonts w:ascii="Times New Roman" w:hAnsi="Times New Roman"/>
          <w:sz w:val="24"/>
          <w:szCs w:val="24"/>
        </w:rPr>
        <w:lastRenderedPageBreak/>
        <w:t xml:space="preserve">If either </w:t>
      </w:r>
      <w:r w:rsidR="002044AE" w:rsidRPr="00CF507F">
        <w:rPr>
          <w:rFonts w:ascii="Times New Roman" w:hAnsi="Times New Roman"/>
          <w:sz w:val="24"/>
          <w:szCs w:val="24"/>
        </w:rPr>
        <w:t>IBank</w:t>
      </w:r>
      <w:r w:rsidRPr="0067432D">
        <w:rPr>
          <w:rFonts w:ascii="Times New Roman" w:hAnsi="Times New Roman"/>
          <w:sz w:val="24"/>
          <w:szCs w:val="24"/>
        </w:rPr>
        <w:t xml:space="preserve"> or the other State conduit revenue </w:t>
      </w:r>
      <w:r w:rsidR="00D646D1" w:rsidRPr="00CF507F">
        <w:rPr>
          <w:rFonts w:ascii="Times New Roman" w:hAnsi="Times New Roman"/>
          <w:sz w:val="24"/>
          <w:szCs w:val="24"/>
        </w:rPr>
        <w:t>bond</w:t>
      </w:r>
      <w:r w:rsidR="00EE41FF" w:rsidRPr="00541FDB">
        <w:rPr>
          <w:rFonts w:ascii="Times New Roman" w:hAnsi="Times New Roman"/>
          <w:sz w:val="24"/>
          <w:szCs w:val="24"/>
        </w:rPr>
        <w:t>s</w:t>
      </w:r>
      <w:r w:rsidRPr="0067432D">
        <w:rPr>
          <w:rFonts w:ascii="Times New Roman" w:hAnsi="Times New Roman"/>
          <w:sz w:val="24"/>
          <w:szCs w:val="24"/>
        </w:rPr>
        <w:t xml:space="preserve"> issuer is statutorily authorized to finance only a portion of the proposed project</w:t>
      </w:r>
      <w:r w:rsidR="00EE41FF" w:rsidRPr="00CF507F">
        <w:rPr>
          <w:rFonts w:ascii="Times New Roman" w:hAnsi="Times New Roman"/>
          <w:sz w:val="24"/>
          <w:szCs w:val="24"/>
        </w:rPr>
        <w:t>;</w:t>
      </w:r>
      <w:r w:rsidRPr="0067432D">
        <w:rPr>
          <w:rFonts w:ascii="Times New Roman" w:hAnsi="Times New Roman"/>
          <w:sz w:val="24"/>
          <w:szCs w:val="24"/>
        </w:rPr>
        <w:t xml:space="preserve"> which issuer is statutorily authorized to finance the greater portion of the proposed project</w:t>
      </w:r>
      <w:r w:rsidR="00404959" w:rsidRPr="00CF507F">
        <w:rPr>
          <w:rFonts w:ascii="Times New Roman" w:hAnsi="Times New Roman"/>
          <w:sz w:val="24"/>
          <w:szCs w:val="24"/>
        </w:rPr>
        <w:t>?</w:t>
      </w:r>
      <w:r w:rsidRPr="00541FDB">
        <w:rPr>
          <w:rFonts w:ascii="Times New Roman" w:hAnsi="Times New Roman"/>
          <w:sz w:val="24"/>
          <w:szCs w:val="24"/>
        </w:rPr>
        <w:t xml:space="preserve"> </w:t>
      </w:r>
    </w:p>
    <w:p w14:paraId="475D83C4" w14:textId="77777777" w:rsidR="006E63EE" w:rsidRPr="0067432D" w:rsidRDefault="006E63EE" w:rsidP="0067432D">
      <w:pPr>
        <w:pStyle w:val="ListParagraph"/>
        <w:spacing w:after="0" w:line="240" w:lineRule="auto"/>
        <w:ind w:left="2340" w:right="720"/>
        <w:contextualSpacing/>
        <w:jc w:val="both"/>
        <w:rPr>
          <w:rFonts w:ascii="Times New Roman" w:hAnsi="Times New Roman"/>
          <w:sz w:val="24"/>
          <w:szCs w:val="24"/>
        </w:rPr>
      </w:pPr>
      <w:r w:rsidRPr="0067432D">
        <w:rPr>
          <w:rFonts w:ascii="Times New Roman" w:hAnsi="Times New Roman"/>
          <w:sz w:val="24"/>
          <w:szCs w:val="24"/>
        </w:rPr>
        <w:t xml:space="preserve"> </w:t>
      </w:r>
    </w:p>
    <w:p w14:paraId="6994E099" w14:textId="63E51142" w:rsidR="006E63EE" w:rsidRPr="0067432D" w:rsidRDefault="006E63EE" w:rsidP="0067432D">
      <w:pPr>
        <w:pStyle w:val="ListParagraph"/>
        <w:numPr>
          <w:ilvl w:val="0"/>
          <w:numId w:val="37"/>
        </w:numPr>
        <w:spacing w:after="0" w:line="240" w:lineRule="auto"/>
        <w:ind w:right="720"/>
        <w:contextualSpacing/>
        <w:jc w:val="both"/>
        <w:rPr>
          <w:rFonts w:ascii="Times New Roman" w:hAnsi="Times New Roman"/>
          <w:sz w:val="24"/>
          <w:szCs w:val="24"/>
        </w:rPr>
      </w:pPr>
      <w:r w:rsidRPr="0067432D">
        <w:rPr>
          <w:rFonts w:ascii="Times New Roman" w:hAnsi="Times New Roman"/>
          <w:sz w:val="24"/>
          <w:szCs w:val="24"/>
        </w:rPr>
        <w:t xml:space="preserve">Whether the project is of a type previously financed by either </w:t>
      </w:r>
      <w:r w:rsidR="002044AE" w:rsidRPr="0067432D">
        <w:rPr>
          <w:rFonts w:ascii="Times New Roman" w:hAnsi="Times New Roman"/>
          <w:sz w:val="24"/>
          <w:szCs w:val="24"/>
        </w:rPr>
        <w:t>IBank</w:t>
      </w:r>
      <w:r w:rsidRPr="0067432D">
        <w:rPr>
          <w:rFonts w:ascii="Times New Roman" w:hAnsi="Times New Roman"/>
          <w:sz w:val="24"/>
          <w:szCs w:val="24"/>
        </w:rPr>
        <w:t xml:space="preserve"> or the other State conduit revenue bond issuer (i.e., whether </w:t>
      </w:r>
      <w:r w:rsidR="002044AE" w:rsidRPr="0067432D">
        <w:rPr>
          <w:rFonts w:ascii="Times New Roman" w:hAnsi="Times New Roman"/>
          <w:sz w:val="24"/>
          <w:szCs w:val="24"/>
        </w:rPr>
        <w:t>IBank</w:t>
      </w:r>
      <w:r w:rsidRPr="0067432D">
        <w:rPr>
          <w:rFonts w:ascii="Times New Roman" w:hAnsi="Times New Roman"/>
          <w:sz w:val="24"/>
          <w:szCs w:val="24"/>
        </w:rPr>
        <w:t xml:space="preserve"> staff or staff of the other State conduit revenue bond issuer has developed experience and expertise in assessing and advising on a similar project or projects).</w:t>
      </w:r>
    </w:p>
    <w:p w14:paraId="0F794B17" w14:textId="77777777" w:rsidR="00044206" w:rsidRPr="00CF507F" w:rsidRDefault="00044206" w:rsidP="0041458C">
      <w:pPr>
        <w:pStyle w:val="ListParagraph"/>
        <w:spacing w:after="0" w:line="240" w:lineRule="auto"/>
        <w:ind w:left="2340" w:right="720"/>
        <w:contextualSpacing/>
        <w:jc w:val="both"/>
        <w:rPr>
          <w:rFonts w:ascii="Times New Roman" w:hAnsi="Times New Roman"/>
          <w:sz w:val="24"/>
          <w:szCs w:val="24"/>
        </w:rPr>
      </w:pPr>
    </w:p>
    <w:p w14:paraId="3B426E59" w14:textId="59F11F43" w:rsidR="006E63EE" w:rsidRPr="00B21B7C" w:rsidRDefault="006E63EE" w:rsidP="0067432D">
      <w:pPr>
        <w:pStyle w:val="ListParagraph"/>
        <w:numPr>
          <w:ilvl w:val="0"/>
          <w:numId w:val="37"/>
        </w:numPr>
        <w:spacing w:after="0" w:line="240" w:lineRule="auto"/>
        <w:ind w:right="720"/>
        <w:contextualSpacing/>
        <w:jc w:val="both"/>
        <w:rPr>
          <w:rFonts w:ascii="Times New Roman" w:hAnsi="Times New Roman"/>
          <w:sz w:val="24"/>
          <w:szCs w:val="24"/>
        </w:rPr>
      </w:pPr>
      <w:r w:rsidRPr="00B21B7C">
        <w:rPr>
          <w:rFonts w:ascii="Times New Roman" w:hAnsi="Times New Roman"/>
          <w:sz w:val="24"/>
          <w:szCs w:val="24"/>
        </w:rPr>
        <w:t xml:space="preserve">The staffing capacity of </w:t>
      </w:r>
      <w:r w:rsidR="002044AE" w:rsidRPr="00B21B7C">
        <w:rPr>
          <w:rFonts w:ascii="Times New Roman" w:hAnsi="Times New Roman"/>
          <w:sz w:val="24"/>
          <w:szCs w:val="24"/>
        </w:rPr>
        <w:t>IBank</w:t>
      </w:r>
      <w:r w:rsidRPr="00B21B7C">
        <w:rPr>
          <w:rFonts w:ascii="Times New Roman" w:hAnsi="Times New Roman"/>
          <w:sz w:val="24"/>
          <w:szCs w:val="24"/>
        </w:rPr>
        <w:t xml:space="preserve"> and the other State conduit revenue bond issuer, and the respective experience of available staff to effectively and efficiently assess and advise on the project.</w:t>
      </w:r>
    </w:p>
    <w:p w14:paraId="7E90209F" w14:textId="6BF62777" w:rsidR="006E63EE" w:rsidRPr="00B21B7C" w:rsidRDefault="006E63EE" w:rsidP="0067432D">
      <w:pPr>
        <w:pStyle w:val="ListParagraph"/>
        <w:spacing w:after="0" w:line="240" w:lineRule="auto"/>
        <w:ind w:left="1080" w:right="720"/>
        <w:jc w:val="both"/>
        <w:rPr>
          <w:rFonts w:ascii="Times New Roman" w:hAnsi="Times New Roman"/>
          <w:sz w:val="24"/>
          <w:szCs w:val="24"/>
        </w:rPr>
      </w:pPr>
    </w:p>
    <w:p w14:paraId="7A408139" w14:textId="2D9CF815" w:rsidR="007F4071" w:rsidRPr="0067432D" w:rsidRDefault="006E63EE" w:rsidP="0067432D">
      <w:pPr>
        <w:ind w:left="900"/>
        <w:jc w:val="both"/>
        <w:rPr>
          <w:color w:val="000000"/>
          <w:sz w:val="24"/>
          <w:szCs w:val="24"/>
        </w:rPr>
      </w:pPr>
      <w:r w:rsidRPr="0067432D">
        <w:rPr>
          <w:sz w:val="24"/>
          <w:szCs w:val="24"/>
        </w:rPr>
        <w:t xml:space="preserve">The Executive Director shall inform the Board when a project is recommended for financing by </w:t>
      </w:r>
      <w:r w:rsidR="002044AE" w:rsidRPr="0067432D">
        <w:rPr>
          <w:sz w:val="24"/>
          <w:szCs w:val="24"/>
        </w:rPr>
        <w:t>IBank</w:t>
      </w:r>
      <w:r w:rsidRPr="0067432D">
        <w:rPr>
          <w:sz w:val="24"/>
          <w:szCs w:val="24"/>
        </w:rPr>
        <w:t xml:space="preserve"> staff pursuant to this Section I.B</w:t>
      </w:r>
      <w:r w:rsidR="002A4ABF" w:rsidRPr="0067432D">
        <w:rPr>
          <w:sz w:val="24"/>
          <w:szCs w:val="24"/>
        </w:rPr>
        <w:t>.</w:t>
      </w:r>
    </w:p>
    <w:p w14:paraId="17AA6584" w14:textId="79E60EA0" w:rsidR="007F4071" w:rsidRPr="0067432D" w:rsidRDefault="007F4071" w:rsidP="0067432D">
      <w:pPr>
        <w:numPr>
          <w:ilvl w:val="12"/>
          <w:numId w:val="0"/>
        </w:numPr>
        <w:ind w:left="900" w:hanging="360"/>
        <w:jc w:val="both"/>
        <w:rPr>
          <w:sz w:val="24"/>
          <w:szCs w:val="24"/>
        </w:rPr>
      </w:pPr>
    </w:p>
    <w:p w14:paraId="7F052B87" w14:textId="7452A528" w:rsidR="007F4071" w:rsidRPr="0067432D" w:rsidRDefault="00893D2E" w:rsidP="0067432D">
      <w:pPr>
        <w:numPr>
          <w:ilvl w:val="0"/>
          <w:numId w:val="2"/>
        </w:numPr>
        <w:ind w:right="18"/>
        <w:jc w:val="both"/>
        <w:rPr>
          <w:color w:val="000000"/>
          <w:sz w:val="24"/>
          <w:szCs w:val="24"/>
        </w:rPr>
      </w:pPr>
      <w:r w:rsidRPr="0067432D">
        <w:rPr>
          <w:sz w:val="24"/>
          <w:szCs w:val="24"/>
        </w:rPr>
        <w:t xml:space="preserve">The </w:t>
      </w:r>
      <w:r w:rsidR="002044AE" w:rsidRPr="0067432D">
        <w:rPr>
          <w:sz w:val="24"/>
          <w:szCs w:val="24"/>
        </w:rPr>
        <w:t>IBank</w:t>
      </w:r>
      <w:r w:rsidRPr="0067432D">
        <w:rPr>
          <w:sz w:val="24"/>
          <w:szCs w:val="24"/>
        </w:rPr>
        <w:t xml:space="preserve">’s </w:t>
      </w:r>
      <w:r w:rsidR="00846244" w:rsidRPr="0067432D">
        <w:rPr>
          <w:sz w:val="24"/>
          <w:szCs w:val="24"/>
        </w:rPr>
        <w:t>standard</w:t>
      </w:r>
      <w:r w:rsidRPr="0067432D">
        <w:rPr>
          <w:sz w:val="24"/>
          <w:szCs w:val="24"/>
        </w:rPr>
        <w:t xml:space="preserve"> policy will be to issue </w:t>
      </w:r>
      <w:r w:rsidR="001425AD" w:rsidRPr="0067432D">
        <w:rPr>
          <w:sz w:val="24"/>
          <w:szCs w:val="24"/>
        </w:rPr>
        <w:t xml:space="preserve">publicly offered </w:t>
      </w:r>
      <w:r w:rsidR="00846244" w:rsidRPr="0067432D">
        <w:rPr>
          <w:sz w:val="24"/>
          <w:szCs w:val="24"/>
        </w:rPr>
        <w:t>B</w:t>
      </w:r>
      <w:r w:rsidRPr="0067432D">
        <w:rPr>
          <w:sz w:val="24"/>
          <w:szCs w:val="24"/>
        </w:rPr>
        <w:t>onds</w:t>
      </w:r>
      <w:r w:rsidR="00846244" w:rsidRPr="0067432D">
        <w:rPr>
          <w:sz w:val="24"/>
          <w:szCs w:val="24"/>
        </w:rPr>
        <w:t xml:space="preserve"> only where such Bonds</w:t>
      </w:r>
      <w:r w:rsidRPr="0067432D">
        <w:rPr>
          <w:sz w:val="24"/>
          <w:szCs w:val="24"/>
        </w:rPr>
        <w:t xml:space="preserve"> bear a long-term rating of at least a “</w:t>
      </w:r>
      <w:r w:rsidR="001425AD" w:rsidRPr="0067432D">
        <w:rPr>
          <w:sz w:val="24"/>
          <w:szCs w:val="24"/>
        </w:rPr>
        <w:t>Baa</w:t>
      </w:r>
      <w:r w:rsidR="003C76BD" w:rsidRPr="0067432D">
        <w:rPr>
          <w:sz w:val="24"/>
          <w:szCs w:val="24"/>
        </w:rPr>
        <w:t>3</w:t>
      </w:r>
      <w:r w:rsidRPr="0067432D">
        <w:rPr>
          <w:sz w:val="24"/>
          <w:szCs w:val="24"/>
        </w:rPr>
        <w:t>” from Moody’s Investors Service (</w:t>
      </w:r>
      <w:r w:rsidR="001425AD" w:rsidRPr="0067432D">
        <w:rPr>
          <w:sz w:val="24"/>
          <w:szCs w:val="24"/>
        </w:rPr>
        <w:t>“</w:t>
      </w:r>
      <w:r w:rsidRPr="0067432D">
        <w:rPr>
          <w:sz w:val="24"/>
          <w:szCs w:val="24"/>
        </w:rPr>
        <w:t>Moody’s</w:t>
      </w:r>
      <w:r w:rsidR="001425AD" w:rsidRPr="0067432D">
        <w:rPr>
          <w:sz w:val="24"/>
          <w:szCs w:val="24"/>
        </w:rPr>
        <w:t>”</w:t>
      </w:r>
      <w:r w:rsidRPr="0067432D">
        <w:rPr>
          <w:sz w:val="24"/>
          <w:szCs w:val="24"/>
        </w:rPr>
        <w:t xml:space="preserve">), </w:t>
      </w:r>
      <w:r w:rsidR="001425AD" w:rsidRPr="0067432D">
        <w:rPr>
          <w:sz w:val="24"/>
          <w:szCs w:val="24"/>
        </w:rPr>
        <w:t>and/</w:t>
      </w:r>
      <w:r w:rsidRPr="0067432D">
        <w:rPr>
          <w:sz w:val="24"/>
          <w:szCs w:val="24"/>
        </w:rPr>
        <w:t>or  “</w:t>
      </w:r>
      <w:r w:rsidR="001425AD" w:rsidRPr="0067432D">
        <w:rPr>
          <w:sz w:val="24"/>
          <w:szCs w:val="24"/>
        </w:rPr>
        <w:t>BBB</w:t>
      </w:r>
      <w:r w:rsidR="003C76BD" w:rsidRPr="0067432D">
        <w:rPr>
          <w:sz w:val="24"/>
          <w:szCs w:val="24"/>
        </w:rPr>
        <w:t>-</w:t>
      </w:r>
      <w:r w:rsidR="00F03F78" w:rsidRPr="0067432D">
        <w:rPr>
          <w:sz w:val="24"/>
          <w:szCs w:val="24"/>
        </w:rPr>
        <w:t>”</w:t>
      </w:r>
      <w:r w:rsidRPr="0067432D">
        <w:rPr>
          <w:sz w:val="24"/>
          <w:szCs w:val="24"/>
        </w:rPr>
        <w:t xml:space="preserve"> from Standard &amp; Poor’s (</w:t>
      </w:r>
      <w:r w:rsidR="001425AD" w:rsidRPr="0067432D">
        <w:rPr>
          <w:sz w:val="24"/>
          <w:szCs w:val="24"/>
        </w:rPr>
        <w:t>“</w:t>
      </w:r>
      <w:r w:rsidRPr="0067432D">
        <w:rPr>
          <w:sz w:val="24"/>
          <w:szCs w:val="24"/>
        </w:rPr>
        <w:t>S&amp;P</w:t>
      </w:r>
      <w:r w:rsidR="001425AD" w:rsidRPr="0067432D">
        <w:rPr>
          <w:sz w:val="24"/>
          <w:szCs w:val="24"/>
        </w:rPr>
        <w:t>”</w:t>
      </w:r>
      <w:r w:rsidRPr="0067432D">
        <w:rPr>
          <w:sz w:val="24"/>
          <w:szCs w:val="24"/>
        </w:rPr>
        <w:t>)</w:t>
      </w:r>
      <w:r w:rsidR="00EE41FF" w:rsidRPr="0067432D">
        <w:rPr>
          <w:sz w:val="24"/>
          <w:szCs w:val="24"/>
        </w:rPr>
        <w:t xml:space="preserve">, </w:t>
      </w:r>
      <w:r w:rsidRPr="0067432D">
        <w:rPr>
          <w:sz w:val="24"/>
          <w:szCs w:val="24"/>
        </w:rPr>
        <w:t>or Fitch Ratings, Inc. (</w:t>
      </w:r>
      <w:r w:rsidR="001425AD" w:rsidRPr="0067432D">
        <w:rPr>
          <w:sz w:val="24"/>
          <w:szCs w:val="24"/>
        </w:rPr>
        <w:t>“</w:t>
      </w:r>
      <w:r w:rsidRPr="0067432D">
        <w:rPr>
          <w:sz w:val="24"/>
          <w:szCs w:val="24"/>
        </w:rPr>
        <w:t>Fitch</w:t>
      </w:r>
      <w:r w:rsidR="001425AD" w:rsidRPr="0067432D">
        <w:rPr>
          <w:sz w:val="24"/>
          <w:szCs w:val="24"/>
        </w:rPr>
        <w:t>”</w:t>
      </w:r>
      <w:r w:rsidRPr="0067432D">
        <w:rPr>
          <w:sz w:val="24"/>
          <w:szCs w:val="24"/>
        </w:rPr>
        <w:t xml:space="preserve">), and/or a short-term rating of at least a “VMIG </w:t>
      </w:r>
      <w:r w:rsidR="003C76BD" w:rsidRPr="0067432D">
        <w:rPr>
          <w:sz w:val="24"/>
          <w:szCs w:val="24"/>
        </w:rPr>
        <w:t>3</w:t>
      </w:r>
      <w:r w:rsidRPr="0067432D">
        <w:rPr>
          <w:sz w:val="24"/>
          <w:szCs w:val="24"/>
        </w:rPr>
        <w:t>” or “P-</w:t>
      </w:r>
      <w:r w:rsidR="003C76BD" w:rsidRPr="0067432D">
        <w:rPr>
          <w:sz w:val="24"/>
          <w:szCs w:val="24"/>
        </w:rPr>
        <w:t>3</w:t>
      </w:r>
      <w:r w:rsidRPr="0067432D">
        <w:rPr>
          <w:sz w:val="24"/>
          <w:szCs w:val="24"/>
        </w:rPr>
        <w:t>” from Moody’s, or “SP-</w:t>
      </w:r>
      <w:r w:rsidR="001425AD" w:rsidRPr="0067432D">
        <w:rPr>
          <w:sz w:val="24"/>
          <w:szCs w:val="24"/>
        </w:rPr>
        <w:t>2</w:t>
      </w:r>
      <w:r w:rsidRPr="0067432D">
        <w:rPr>
          <w:sz w:val="24"/>
          <w:szCs w:val="24"/>
        </w:rPr>
        <w:t>” or “A-</w:t>
      </w:r>
      <w:r w:rsidR="003C76BD" w:rsidRPr="0067432D">
        <w:rPr>
          <w:sz w:val="24"/>
          <w:szCs w:val="24"/>
        </w:rPr>
        <w:t>3</w:t>
      </w:r>
      <w:r w:rsidRPr="0067432D">
        <w:rPr>
          <w:sz w:val="24"/>
          <w:szCs w:val="24"/>
        </w:rPr>
        <w:t>” from S&amp;P, or “</w:t>
      </w:r>
      <w:r w:rsidR="001425AD" w:rsidRPr="0067432D">
        <w:rPr>
          <w:sz w:val="24"/>
          <w:szCs w:val="24"/>
        </w:rPr>
        <w:t>F</w:t>
      </w:r>
      <w:r w:rsidR="003C76BD" w:rsidRPr="0067432D">
        <w:rPr>
          <w:sz w:val="24"/>
          <w:szCs w:val="24"/>
        </w:rPr>
        <w:t>3</w:t>
      </w:r>
      <w:r w:rsidRPr="0067432D">
        <w:rPr>
          <w:sz w:val="24"/>
          <w:szCs w:val="24"/>
        </w:rPr>
        <w:t>” from Fitch</w:t>
      </w:r>
      <w:r w:rsidR="00EE41FF" w:rsidRPr="0067432D">
        <w:rPr>
          <w:sz w:val="24"/>
          <w:szCs w:val="24"/>
        </w:rPr>
        <w:t>;</w:t>
      </w:r>
      <w:r w:rsidRPr="0067432D">
        <w:rPr>
          <w:sz w:val="24"/>
          <w:szCs w:val="24"/>
        </w:rPr>
        <w:t xml:space="preserve"> based either on the credit of the </w:t>
      </w:r>
      <w:hyperlink r:id="rId10" w:history="1">
        <w:r w:rsidR="00BC406B" w:rsidRPr="0067432D">
          <w:rPr>
            <w:rStyle w:val="Hyperlink"/>
            <w:sz w:val="24"/>
            <w:szCs w:val="24"/>
          </w:rPr>
          <w:t>a</w:t>
        </w:r>
        <w:r w:rsidR="007A7059" w:rsidRPr="0067432D">
          <w:rPr>
            <w:rStyle w:val="Hyperlink"/>
            <w:sz w:val="24"/>
            <w:szCs w:val="24"/>
          </w:rPr>
          <w:t>pplicant</w:t>
        </w:r>
      </w:hyperlink>
      <w:r w:rsidRPr="0067432D">
        <w:rPr>
          <w:sz w:val="24"/>
          <w:szCs w:val="24"/>
        </w:rPr>
        <w:t xml:space="preserve"> or on a credit enhancement from a bank, insurance company</w:t>
      </w:r>
      <w:r w:rsidR="00EE41FF" w:rsidRPr="0067432D">
        <w:rPr>
          <w:sz w:val="24"/>
          <w:szCs w:val="24"/>
        </w:rPr>
        <w:t>,</w:t>
      </w:r>
      <w:r w:rsidRPr="0067432D">
        <w:rPr>
          <w:sz w:val="24"/>
          <w:szCs w:val="24"/>
        </w:rPr>
        <w:t xml:space="preserve"> or other guarantor acceptable to </w:t>
      </w:r>
      <w:r w:rsidR="002044AE" w:rsidRPr="0067432D">
        <w:rPr>
          <w:sz w:val="24"/>
          <w:szCs w:val="24"/>
        </w:rPr>
        <w:t>IBank</w:t>
      </w:r>
      <w:r w:rsidR="00846244" w:rsidRPr="0067432D">
        <w:rPr>
          <w:sz w:val="24"/>
          <w:szCs w:val="24"/>
        </w:rPr>
        <w:t xml:space="preserve"> (the</w:t>
      </w:r>
      <w:r w:rsidR="0026203B">
        <w:rPr>
          <w:sz w:val="24"/>
          <w:szCs w:val="24"/>
        </w:rPr>
        <w:t xml:space="preserve"> ”</w:t>
      </w:r>
      <w:r w:rsidR="00846244" w:rsidRPr="0067432D">
        <w:rPr>
          <w:sz w:val="24"/>
          <w:szCs w:val="24"/>
        </w:rPr>
        <w:t xml:space="preserve">Minimum Rating Policy”). </w:t>
      </w:r>
      <w:r w:rsidR="00F16DB6" w:rsidRPr="0067432D">
        <w:rPr>
          <w:sz w:val="24"/>
          <w:szCs w:val="24"/>
        </w:rPr>
        <w:t>Each rating on the Bonds</w:t>
      </w:r>
      <w:r w:rsidR="00846244" w:rsidRPr="0067432D">
        <w:rPr>
          <w:sz w:val="24"/>
          <w:szCs w:val="24"/>
        </w:rPr>
        <w:t xml:space="preserve"> must meet the Minimum Rating Policy</w:t>
      </w:r>
      <w:r w:rsidR="00F16DB6" w:rsidRPr="0067432D">
        <w:rPr>
          <w:sz w:val="24"/>
          <w:szCs w:val="24"/>
        </w:rPr>
        <w:t xml:space="preserve"> for IBank to issue publicly offered Bonds</w:t>
      </w:r>
      <w:r w:rsidRPr="0067432D">
        <w:rPr>
          <w:sz w:val="24"/>
          <w:szCs w:val="24"/>
        </w:rPr>
        <w:t xml:space="preserve">. </w:t>
      </w:r>
      <w:r w:rsidR="00846244" w:rsidRPr="0067432D">
        <w:rPr>
          <w:sz w:val="24"/>
          <w:szCs w:val="24"/>
        </w:rPr>
        <w:t>If the</w:t>
      </w:r>
      <w:r w:rsidR="00CF2EFE" w:rsidRPr="0067432D">
        <w:rPr>
          <w:sz w:val="24"/>
          <w:szCs w:val="24"/>
        </w:rPr>
        <w:t xml:space="preserve"> ratings on the bonds fall below the </w:t>
      </w:r>
      <w:r w:rsidR="00846244" w:rsidRPr="0067432D">
        <w:rPr>
          <w:sz w:val="24"/>
          <w:szCs w:val="24"/>
        </w:rPr>
        <w:t>M</w:t>
      </w:r>
      <w:r w:rsidR="00CF2EFE" w:rsidRPr="0067432D">
        <w:rPr>
          <w:sz w:val="24"/>
          <w:szCs w:val="24"/>
        </w:rPr>
        <w:t xml:space="preserve">inimum </w:t>
      </w:r>
      <w:r w:rsidR="00846244" w:rsidRPr="0067432D">
        <w:rPr>
          <w:sz w:val="24"/>
          <w:szCs w:val="24"/>
        </w:rPr>
        <w:t>R</w:t>
      </w:r>
      <w:r w:rsidR="00CF2EFE" w:rsidRPr="0067432D">
        <w:rPr>
          <w:sz w:val="24"/>
          <w:szCs w:val="24"/>
        </w:rPr>
        <w:t xml:space="preserve">ating </w:t>
      </w:r>
      <w:r w:rsidR="00846244" w:rsidRPr="0067432D">
        <w:rPr>
          <w:sz w:val="24"/>
          <w:szCs w:val="24"/>
        </w:rPr>
        <w:t>Policy</w:t>
      </w:r>
      <w:r w:rsidR="00F16DB6" w:rsidRPr="0067432D">
        <w:rPr>
          <w:sz w:val="24"/>
          <w:szCs w:val="24"/>
        </w:rPr>
        <w:t xml:space="preserve"> after issuance</w:t>
      </w:r>
      <w:r w:rsidR="00846244" w:rsidRPr="0067432D">
        <w:rPr>
          <w:sz w:val="24"/>
          <w:szCs w:val="24"/>
        </w:rPr>
        <w:t>, subsequent transfers shall be subject to the limitations of Section I.D., below</w:t>
      </w:r>
      <w:r w:rsidR="00CF2EFE" w:rsidRPr="0067432D">
        <w:rPr>
          <w:sz w:val="24"/>
          <w:szCs w:val="24"/>
        </w:rPr>
        <w:t xml:space="preserve">. </w:t>
      </w:r>
      <w:r w:rsidR="002044AE" w:rsidRPr="0067432D">
        <w:rPr>
          <w:sz w:val="24"/>
          <w:szCs w:val="24"/>
        </w:rPr>
        <w:t>IBank</w:t>
      </w:r>
      <w:r w:rsidRPr="0067432D">
        <w:rPr>
          <w:sz w:val="24"/>
          <w:szCs w:val="24"/>
        </w:rPr>
        <w:t xml:space="preserve"> </w:t>
      </w:r>
      <w:r w:rsidR="00446BC5" w:rsidRPr="0067432D">
        <w:rPr>
          <w:sz w:val="24"/>
          <w:szCs w:val="24"/>
        </w:rPr>
        <w:t xml:space="preserve">Board </w:t>
      </w:r>
      <w:r w:rsidRPr="0067432D">
        <w:rPr>
          <w:sz w:val="24"/>
          <w:szCs w:val="24"/>
        </w:rPr>
        <w:t xml:space="preserve">may consider a waiver of the </w:t>
      </w:r>
      <w:r w:rsidR="00961F41" w:rsidRPr="0067432D">
        <w:rPr>
          <w:sz w:val="24"/>
          <w:szCs w:val="24"/>
        </w:rPr>
        <w:t>M</w:t>
      </w:r>
      <w:r w:rsidRPr="0067432D">
        <w:rPr>
          <w:sz w:val="24"/>
          <w:szCs w:val="24"/>
        </w:rPr>
        <w:t xml:space="preserve">inimum </w:t>
      </w:r>
      <w:r w:rsidR="00961F41" w:rsidRPr="0067432D">
        <w:rPr>
          <w:sz w:val="24"/>
          <w:szCs w:val="24"/>
        </w:rPr>
        <w:t>R</w:t>
      </w:r>
      <w:r w:rsidRPr="0067432D">
        <w:rPr>
          <w:sz w:val="24"/>
          <w:szCs w:val="24"/>
        </w:rPr>
        <w:t xml:space="preserve">ating </w:t>
      </w:r>
      <w:r w:rsidR="00961F41" w:rsidRPr="0067432D">
        <w:rPr>
          <w:sz w:val="24"/>
          <w:szCs w:val="24"/>
        </w:rPr>
        <w:t>Policy</w:t>
      </w:r>
      <w:r w:rsidRPr="0067432D">
        <w:rPr>
          <w:sz w:val="24"/>
          <w:szCs w:val="24"/>
        </w:rPr>
        <w:t xml:space="preserve"> based on special circumstances, or a waiver pursuant to subsection D</w:t>
      </w:r>
      <w:r w:rsidR="00197E73" w:rsidRPr="0067432D">
        <w:rPr>
          <w:sz w:val="24"/>
          <w:szCs w:val="24"/>
        </w:rPr>
        <w:t>.</w:t>
      </w:r>
    </w:p>
    <w:p w14:paraId="0463CB30" w14:textId="10A96275" w:rsidR="007F4071" w:rsidRPr="0067432D" w:rsidRDefault="007F4071" w:rsidP="0067432D">
      <w:pPr>
        <w:numPr>
          <w:ilvl w:val="12"/>
          <w:numId w:val="0"/>
        </w:numPr>
        <w:ind w:left="900" w:hanging="360"/>
        <w:jc w:val="both"/>
        <w:rPr>
          <w:sz w:val="24"/>
          <w:szCs w:val="24"/>
        </w:rPr>
      </w:pPr>
    </w:p>
    <w:p w14:paraId="0376AEB5" w14:textId="55EDB525" w:rsidR="007F4071" w:rsidRPr="0067432D" w:rsidRDefault="007F4071" w:rsidP="0067432D">
      <w:pPr>
        <w:numPr>
          <w:ilvl w:val="0"/>
          <w:numId w:val="2"/>
        </w:numPr>
        <w:jc w:val="both"/>
        <w:rPr>
          <w:color w:val="000000"/>
          <w:sz w:val="24"/>
          <w:szCs w:val="24"/>
        </w:rPr>
      </w:pPr>
      <w:r w:rsidRPr="0067432D">
        <w:rPr>
          <w:sz w:val="24"/>
          <w:szCs w:val="24"/>
        </w:rPr>
        <w:t xml:space="preserve">When </w:t>
      </w:r>
      <w:r w:rsidR="002044AE" w:rsidRPr="0067432D">
        <w:rPr>
          <w:sz w:val="24"/>
          <w:szCs w:val="24"/>
        </w:rPr>
        <w:t>IBank</w:t>
      </w:r>
      <w:r w:rsidR="00893D2E" w:rsidRPr="0067432D">
        <w:rPr>
          <w:sz w:val="24"/>
          <w:szCs w:val="24"/>
        </w:rPr>
        <w:t xml:space="preserve"> </w:t>
      </w:r>
      <w:r w:rsidR="00446BC5" w:rsidRPr="0067432D">
        <w:rPr>
          <w:sz w:val="24"/>
          <w:szCs w:val="24"/>
        </w:rPr>
        <w:t xml:space="preserve">Board </w:t>
      </w:r>
      <w:r w:rsidR="00893D2E" w:rsidRPr="0067432D">
        <w:rPr>
          <w:sz w:val="24"/>
          <w:szCs w:val="24"/>
        </w:rPr>
        <w:t>agrees to waive the requirement for a credit rating stated in paragraph C</w:t>
      </w:r>
      <w:r w:rsidR="00EE41FF" w:rsidRPr="0067432D">
        <w:rPr>
          <w:sz w:val="24"/>
          <w:szCs w:val="24"/>
        </w:rPr>
        <w:t>.</w:t>
      </w:r>
      <w:r w:rsidR="00893D2E" w:rsidRPr="0067432D">
        <w:rPr>
          <w:sz w:val="24"/>
          <w:szCs w:val="24"/>
        </w:rPr>
        <w:t xml:space="preserve">, the </w:t>
      </w:r>
      <w:r w:rsidR="00961F41" w:rsidRPr="0067432D">
        <w:rPr>
          <w:sz w:val="24"/>
          <w:szCs w:val="24"/>
        </w:rPr>
        <w:t>a</w:t>
      </w:r>
      <w:r w:rsidR="00EE41FF" w:rsidRPr="0067432D">
        <w:rPr>
          <w:sz w:val="24"/>
          <w:szCs w:val="24"/>
        </w:rPr>
        <w:t>pplicant</w:t>
      </w:r>
      <w:r w:rsidR="00893D2E" w:rsidRPr="0067432D">
        <w:rPr>
          <w:sz w:val="24"/>
          <w:szCs w:val="24"/>
        </w:rPr>
        <w:t xml:space="preserve"> will be required to use a private placement or limited underwritten offering, subject to the following additional conditions</w:t>
      </w:r>
      <w:r w:rsidRPr="0067432D">
        <w:rPr>
          <w:sz w:val="24"/>
          <w:szCs w:val="24"/>
        </w:rPr>
        <w:t>:</w:t>
      </w:r>
    </w:p>
    <w:p w14:paraId="7B19070E" w14:textId="500DB062" w:rsidR="007F4071" w:rsidRPr="0067432D" w:rsidRDefault="007F4071" w:rsidP="0067432D">
      <w:pPr>
        <w:numPr>
          <w:ilvl w:val="12"/>
          <w:numId w:val="0"/>
        </w:numPr>
        <w:ind w:left="360" w:hanging="360"/>
        <w:jc w:val="both"/>
        <w:rPr>
          <w:sz w:val="24"/>
          <w:szCs w:val="24"/>
        </w:rPr>
      </w:pPr>
    </w:p>
    <w:p w14:paraId="0A3091DC" w14:textId="6C7B52C2" w:rsidR="00174376" w:rsidRPr="0067432D" w:rsidRDefault="007F4071" w:rsidP="00EE41FF">
      <w:pPr>
        <w:numPr>
          <w:ilvl w:val="0"/>
          <w:numId w:val="3"/>
        </w:numPr>
        <w:jc w:val="both"/>
        <w:rPr>
          <w:rFonts w:eastAsia="Calibri"/>
          <w:color w:val="000000"/>
          <w:sz w:val="24"/>
          <w:szCs w:val="24"/>
        </w:rPr>
      </w:pPr>
      <w:r w:rsidRPr="0067432D">
        <w:rPr>
          <w:b/>
          <w:sz w:val="24"/>
          <w:szCs w:val="24"/>
        </w:rPr>
        <w:t>Sophisticated Investor</w:t>
      </w:r>
      <w:r w:rsidRPr="0067432D">
        <w:rPr>
          <w:sz w:val="24"/>
          <w:szCs w:val="24"/>
        </w:rPr>
        <w:t xml:space="preserve">. </w:t>
      </w:r>
      <w:r w:rsidR="00174376" w:rsidRPr="0067432D">
        <w:rPr>
          <w:rFonts w:eastAsia="Calibri"/>
          <w:sz w:val="24"/>
          <w:szCs w:val="24"/>
        </w:rPr>
        <w:t xml:space="preserve">The investor(s) will be required to sign a “sophisticated investor” letter acceptable to IBank. Each investor must be a qualified institutional buyer (“QIB”) within the meaning of S.E.C. Rule 144A or an accredited investor (“AI”) within the meanings of the Code of Federal Regulations, Section 230.501(a)(1), (2), (3), (7), (8), (9), or (12). </w:t>
      </w:r>
      <w:r w:rsidR="00FE67FD" w:rsidRPr="0067432D">
        <w:rPr>
          <w:rFonts w:eastAsia="Calibri"/>
          <w:sz w:val="24"/>
          <w:szCs w:val="24"/>
        </w:rPr>
        <w:t>There is no minimum or maximum number of investors for any private placement or limited underwritten offering.</w:t>
      </w:r>
    </w:p>
    <w:p w14:paraId="04585C73" w14:textId="77777777" w:rsidR="00413EB9" w:rsidRPr="0067432D" w:rsidRDefault="00413EB9" w:rsidP="0067432D">
      <w:pPr>
        <w:ind w:left="1260"/>
        <w:jc w:val="both"/>
        <w:rPr>
          <w:rFonts w:eastAsia="Calibri"/>
          <w:sz w:val="24"/>
          <w:szCs w:val="24"/>
        </w:rPr>
      </w:pPr>
    </w:p>
    <w:p w14:paraId="4CDF4BBE" w14:textId="40F237F4" w:rsidR="00413EB9" w:rsidRPr="0067432D" w:rsidRDefault="007F4071" w:rsidP="0067432D">
      <w:pPr>
        <w:numPr>
          <w:ilvl w:val="0"/>
          <w:numId w:val="3"/>
        </w:numPr>
        <w:jc w:val="both"/>
        <w:rPr>
          <w:color w:val="000000"/>
          <w:sz w:val="24"/>
          <w:szCs w:val="24"/>
        </w:rPr>
      </w:pPr>
      <w:r w:rsidRPr="0067432D">
        <w:rPr>
          <w:b/>
          <w:sz w:val="24"/>
          <w:szCs w:val="24"/>
        </w:rPr>
        <w:t>Resale Limitations</w:t>
      </w:r>
      <w:r w:rsidRPr="0067432D">
        <w:rPr>
          <w:sz w:val="24"/>
          <w:szCs w:val="24"/>
        </w:rPr>
        <w:t xml:space="preserve">. </w:t>
      </w:r>
      <w:r w:rsidR="00FD27F4" w:rsidRPr="0067432D">
        <w:rPr>
          <w:sz w:val="24"/>
          <w:szCs w:val="24"/>
        </w:rPr>
        <w:t>Resales will be subject to paragraphs I.D.1</w:t>
      </w:r>
      <w:r w:rsidR="00EE41FF" w:rsidRPr="0067432D">
        <w:rPr>
          <w:sz w:val="24"/>
          <w:szCs w:val="24"/>
        </w:rPr>
        <w:t>. and I.D.3. unless</w:t>
      </w:r>
      <w:r w:rsidR="005F192A" w:rsidRPr="0067432D">
        <w:rPr>
          <w:sz w:val="24"/>
          <w:szCs w:val="24"/>
        </w:rPr>
        <w:t xml:space="preserve"> the</w:t>
      </w:r>
      <w:r w:rsidR="00FD27F4" w:rsidRPr="0067432D">
        <w:rPr>
          <w:sz w:val="24"/>
          <w:szCs w:val="24"/>
        </w:rPr>
        <w:t xml:space="preserve"> </w:t>
      </w:r>
      <w:r w:rsidR="00F16DB6" w:rsidRPr="0067432D">
        <w:rPr>
          <w:sz w:val="24"/>
          <w:szCs w:val="24"/>
        </w:rPr>
        <w:t xml:space="preserve">Minimum Rating Policy is met for each rating on the Bonds. </w:t>
      </w:r>
      <w:r w:rsidRPr="0067432D">
        <w:rPr>
          <w:sz w:val="24"/>
          <w:szCs w:val="24"/>
        </w:rPr>
        <w:t xml:space="preserve">Depending on </w:t>
      </w:r>
      <w:r w:rsidRPr="0067432D">
        <w:rPr>
          <w:sz w:val="24"/>
          <w:szCs w:val="24"/>
        </w:rPr>
        <w:lastRenderedPageBreak/>
        <w:t xml:space="preserve">the circumstances of the proposed sale, </w:t>
      </w:r>
      <w:r w:rsidR="002044AE" w:rsidRPr="0067432D">
        <w:rPr>
          <w:sz w:val="24"/>
          <w:szCs w:val="24"/>
        </w:rPr>
        <w:t>IBank</w:t>
      </w:r>
      <w:r w:rsidRPr="0067432D">
        <w:rPr>
          <w:sz w:val="24"/>
          <w:szCs w:val="24"/>
        </w:rPr>
        <w:t xml:space="preserve"> may require </w:t>
      </w:r>
      <w:r w:rsidR="00F16DB6" w:rsidRPr="0067432D">
        <w:rPr>
          <w:sz w:val="24"/>
          <w:szCs w:val="24"/>
        </w:rPr>
        <w:t xml:space="preserve">additional </w:t>
      </w:r>
      <w:r w:rsidRPr="0067432D">
        <w:rPr>
          <w:sz w:val="24"/>
          <w:szCs w:val="24"/>
        </w:rPr>
        <w:t xml:space="preserve">conditions for the resale of the </w:t>
      </w:r>
      <w:r w:rsidR="00D646D1" w:rsidRPr="0067432D">
        <w:rPr>
          <w:sz w:val="24"/>
          <w:szCs w:val="24"/>
        </w:rPr>
        <w:t>Bonds</w:t>
      </w:r>
      <w:r w:rsidRPr="0067432D">
        <w:rPr>
          <w:sz w:val="24"/>
          <w:szCs w:val="24"/>
        </w:rPr>
        <w:t xml:space="preserve"> after initial issuance.</w:t>
      </w:r>
    </w:p>
    <w:p w14:paraId="2D69990F" w14:textId="77777777" w:rsidR="00413EB9" w:rsidRPr="00413EB9" w:rsidRDefault="00413EB9" w:rsidP="00413EB9">
      <w:pPr>
        <w:jc w:val="both"/>
        <w:rPr>
          <w:sz w:val="24"/>
        </w:rPr>
      </w:pPr>
    </w:p>
    <w:p w14:paraId="4721908B" w14:textId="0D0A7781" w:rsidR="007F4071" w:rsidRPr="0067432D" w:rsidRDefault="00413EB9" w:rsidP="0067432D">
      <w:pPr>
        <w:ind w:left="1620" w:hanging="360"/>
        <w:jc w:val="both"/>
        <w:rPr>
          <w:sz w:val="24"/>
          <w:szCs w:val="24"/>
        </w:rPr>
      </w:pPr>
      <w:r w:rsidRPr="00413EB9">
        <w:rPr>
          <w:sz w:val="24"/>
        </w:rPr>
        <w:t>3.</w:t>
      </w:r>
      <w:r>
        <w:rPr>
          <w:b/>
          <w:sz w:val="24"/>
        </w:rPr>
        <w:t xml:space="preserve">   </w:t>
      </w:r>
      <w:r w:rsidR="007F4071" w:rsidRPr="0067432D">
        <w:rPr>
          <w:b/>
          <w:sz w:val="24"/>
          <w:szCs w:val="24"/>
        </w:rPr>
        <w:t>Minimum Denomination</w:t>
      </w:r>
      <w:r w:rsidR="007F4071" w:rsidRPr="0067432D">
        <w:rPr>
          <w:sz w:val="24"/>
          <w:szCs w:val="24"/>
        </w:rPr>
        <w:t xml:space="preserve">. </w:t>
      </w:r>
      <w:r w:rsidR="002044AE" w:rsidRPr="0067432D">
        <w:rPr>
          <w:sz w:val="24"/>
          <w:szCs w:val="24"/>
        </w:rPr>
        <w:t>IBank</w:t>
      </w:r>
      <w:r w:rsidR="007F4071" w:rsidRPr="0067432D">
        <w:rPr>
          <w:sz w:val="24"/>
          <w:szCs w:val="24"/>
        </w:rPr>
        <w:t xml:space="preserve"> will require a minimum </w:t>
      </w:r>
      <w:r w:rsidR="00D646D1" w:rsidRPr="0067432D">
        <w:rPr>
          <w:sz w:val="24"/>
          <w:szCs w:val="24"/>
        </w:rPr>
        <w:t>bonds</w:t>
      </w:r>
      <w:r w:rsidR="007F4071" w:rsidRPr="0067432D">
        <w:rPr>
          <w:sz w:val="24"/>
          <w:szCs w:val="24"/>
        </w:rPr>
        <w:t xml:space="preserve"> denomination of at least $100,000</w:t>
      </w:r>
      <w:r w:rsidR="00270FE9" w:rsidRPr="0067432D">
        <w:rPr>
          <w:sz w:val="24"/>
          <w:szCs w:val="24"/>
        </w:rPr>
        <w:t xml:space="preserve"> </w:t>
      </w:r>
      <w:r w:rsidR="007F4071" w:rsidRPr="0067432D">
        <w:rPr>
          <w:sz w:val="24"/>
          <w:szCs w:val="24"/>
        </w:rPr>
        <w:t xml:space="preserve">on private placements </w:t>
      </w:r>
      <w:r w:rsidR="00654E14" w:rsidRPr="0067432D">
        <w:rPr>
          <w:sz w:val="24"/>
          <w:szCs w:val="24"/>
        </w:rPr>
        <w:t>and/</w:t>
      </w:r>
      <w:r w:rsidR="007F4071" w:rsidRPr="0067432D">
        <w:rPr>
          <w:sz w:val="24"/>
          <w:szCs w:val="24"/>
        </w:rPr>
        <w:t xml:space="preserve">or limited underwritten offerings; denominations may be higher depending on the circumstances of the sale. </w:t>
      </w:r>
    </w:p>
    <w:p w14:paraId="6DB2F1E5" w14:textId="1083C971" w:rsidR="00413EB9" w:rsidRPr="0067432D" w:rsidRDefault="00413EB9" w:rsidP="0067432D">
      <w:pPr>
        <w:ind w:left="1260"/>
        <w:jc w:val="both"/>
        <w:rPr>
          <w:sz w:val="24"/>
          <w:szCs w:val="24"/>
        </w:rPr>
      </w:pPr>
    </w:p>
    <w:p w14:paraId="04F6D063" w14:textId="2AD3B59D" w:rsidR="007F4071" w:rsidRPr="0067432D" w:rsidRDefault="007F4071" w:rsidP="0067432D">
      <w:pPr>
        <w:numPr>
          <w:ilvl w:val="0"/>
          <w:numId w:val="5"/>
        </w:numPr>
        <w:ind w:left="540" w:hanging="540"/>
        <w:jc w:val="both"/>
        <w:rPr>
          <w:sz w:val="24"/>
          <w:szCs w:val="24"/>
        </w:rPr>
      </w:pPr>
      <w:r w:rsidRPr="0067432D">
        <w:rPr>
          <w:b/>
          <w:sz w:val="24"/>
          <w:szCs w:val="24"/>
          <w:u w:val="single"/>
        </w:rPr>
        <w:t>Application Content</w:t>
      </w:r>
    </w:p>
    <w:p w14:paraId="0BA5128D" w14:textId="16EB1F68" w:rsidR="007F4071" w:rsidRPr="0067432D" w:rsidRDefault="007F4071" w:rsidP="0067432D">
      <w:pPr>
        <w:jc w:val="both"/>
        <w:rPr>
          <w:sz w:val="24"/>
        </w:rPr>
      </w:pPr>
    </w:p>
    <w:p w14:paraId="5F67CDD8" w14:textId="5626567B" w:rsidR="00B80C8B" w:rsidRPr="0067432D" w:rsidRDefault="00B80C8B" w:rsidP="0094292B">
      <w:pPr>
        <w:ind w:left="900" w:hanging="360"/>
        <w:jc w:val="both"/>
        <w:rPr>
          <w:sz w:val="24"/>
          <w:szCs w:val="24"/>
        </w:rPr>
      </w:pPr>
      <w:r w:rsidRPr="0094292B">
        <w:rPr>
          <w:sz w:val="24"/>
          <w:szCs w:val="24"/>
        </w:rPr>
        <w:t>A</w:t>
      </w:r>
      <w:r>
        <w:rPr>
          <w:b/>
          <w:sz w:val="24"/>
          <w:szCs w:val="24"/>
        </w:rPr>
        <w:t xml:space="preserve">. </w:t>
      </w:r>
      <w:r w:rsidR="007F4071" w:rsidRPr="0067432D">
        <w:rPr>
          <w:b/>
          <w:sz w:val="24"/>
          <w:szCs w:val="24"/>
        </w:rPr>
        <w:t>Inducement Resolutions</w:t>
      </w:r>
      <w:r w:rsidR="007F4071" w:rsidRPr="0067432D">
        <w:rPr>
          <w:sz w:val="24"/>
          <w:szCs w:val="24"/>
        </w:rPr>
        <w:t>. A</w:t>
      </w:r>
      <w:r w:rsidR="00833B9F" w:rsidRPr="0067432D">
        <w:rPr>
          <w:sz w:val="24"/>
          <w:szCs w:val="24"/>
        </w:rPr>
        <w:t xml:space="preserve">n </w:t>
      </w:r>
      <w:r w:rsidR="00EE41FF" w:rsidRPr="0067432D">
        <w:rPr>
          <w:sz w:val="24"/>
          <w:szCs w:val="24"/>
        </w:rPr>
        <w:t>applicant</w:t>
      </w:r>
      <w:r w:rsidR="007F4071" w:rsidRPr="0067432D">
        <w:rPr>
          <w:sz w:val="24"/>
          <w:szCs w:val="24"/>
        </w:rPr>
        <w:t xml:space="preserve"> </w:t>
      </w:r>
      <w:r w:rsidR="004A39C6" w:rsidRPr="0067432D">
        <w:rPr>
          <w:sz w:val="24"/>
          <w:szCs w:val="24"/>
        </w:rPr>
        <w:t>seeking</w:t>
      </w:r>
      <w:r w:rsidR="007F4071" w:rsidRPr="0067432D">
        <w:rPr>
          <w:sz w:val="24"/>
          <w:szCs w:val="24"/>
        </w:rPr>
        <w:t xml:space="preserve"> </w:t>
      </w:r>
      <w:r w:rsidR="002044AE" w:rsidRPr="0067432D">
        <w:rPr>
          <w:sz w:val="24"/>
          <w:szCs w:val="24"/>
        </w:rPr>
        <w:t>IBank</w:t>
      </w:r>
      <w:r w:rsidR="00BE7C12" w:rsidRPr="0067432D">
        <w:rPr>
          <w:sz w:val="24"/>
          <w:szCs w:val="24"/>
        </w:rPr>
        <w:t>’s</w:t>
      </w:r>
      <w:r w:rsidR="007F4071" w:rsidRPr="0067432D">
        <w:rPr>
          <w:sz w:val="24"/>
          <w:szCs w:val="24"/>
        </w:rPr>
        <w:t xml:space="preserve"> adopt</w:t>
      </w:r>
      <w:r w:rsidR="00BE7C12" w:rsidRPr="0067432D">
        <w:rPr>
          <w:sz w:val="24"/>
          <w:szCs w:val="24"/>
        </w:rPr>
        <w:t>ion of</w:t>
      </w:r>
      <w:r w:rsidR="007F4071" w:rsidRPr="0067432D">
        <w:rPr>
          <w:sz w:val="24"/>
          <w:szCs w:val="24"/>
        </w:rPr>
        <w:t xml:space="preserve"> a</w:t>
      </w:r>
      <w:r w:rsidR="00391E82" w:rsidRPr="0067432D">
        <w:rPr>
          <w:sz w:val="24"/>
          <w:szCs w:val="24"/>
        </w:rPr>
        <w:t>n</w:t>
      </w:r>
      <w:r w:rsidR="005F192A" w:rsidRPr="0067432D">
        <w:rPr>
          <w:sz w:val="24"/>
          <w:szCs w:val="24"/>
        </w:rPr>
        <w:t xml:space="preserve"> official</w:t>
      </w:r>
      <w:r w:rsidR="007F4071" w:rsidRPr="0067432D">
        <w:rPr>
          <w:sz w:val="24"/>
          <w:szCs w:val="24"/>
        </w:rPr>
        <w:t xml:space="preserve"> intent</w:t>
      </w:r>
      <w:r w:rsidR="005F192A" w:rsidRPr="0067432D">
        <w:rPr>
          <w:sz w:val="24"/>
          <w:szCs w:val="24"/>
        </w:rPr>
        <w:t xml:space="preserve"> pursuant to Treasury Regulation Sections 1.150-2(d), (e)</w:t>
      </w:r>
      <w:r w:rsidR="007F4071" w:rsidRPr="0067432D">
        <w:rPr>
          <w:sz w:val="24"/>
          <w:szCs w:val="24"/>
        </w:rPr>
        <w:t xml:space="preserve"> </w:t>
      </w:r>
      <w:r w:rsidR="00654E14" w:rsidRPr="0067432D">
        <w:rPr>
          <w:sz w:val="24"/>
          <w:szCs w:val="24"/>
        </w:rPr>
        <w:t>(</w:t>
      </w:r>
      <w:r w:rsidR="005F192A" w:rsidRPr="0067432D">
        <w:rPr>
          <w:sz w:val="24"/>
          <w:szCs w:val="24"/>
        </w:rPr>
        <w:t xml:space="preserve">an </w:t>
      </w:r>
      <w:r w:rsidR="00654E14" w:rsidRPr="0067432D">
        <w:rPr>
          <w:sz w:val="24"/>
          <w:szCs w:val="24"/>
        </w:rPr>
        <w:t>“Inducement Resolution”</w:t>
      </w:r>
      <w:r w:rsidR="00FE67FD" w:rsidRPr="0067432D">
        <w:rPr>
          <w:sz w:val="24"/>
          <w:szCs w:val="24"/>
        </w:rPr>
        <w:t xml:space="preserve"> if adopted by the Board and an “Inducement Certificate” if executed by IBank’s Executive Director pursuant to his or her delegated authority</w:t>
      </w:r>
      <w:r w:rsidR="00654E14" w:rsidRPr="0067432D">
        <w:rPr>
          <w:sz w:val="24"/>
          <w:szCs w:val="24"/>
        </w:rPr>
        <w:t xml:space="preserve">) </w:t>
      </w:r>
      <w:r w:rsidR="007F4071" w:rsidRPr="0067432D">
        <w:rPr>
          <w:sz w:val="24"/>
          <w:szCs w:val="24"/>
        </w:rPr>
        <w:t xml:space="preserve">in connection with the issuance of </w:t>
      </w:r>
      <w:r w:rsidR="005F192A" w:rsidRPr="0067432D">
        <w:rPr>
          <w:sz w:val="24"/>
          <w:szCs w:val="24"/>
        </w:rPr>
        <w:t>Bonds</w:t>
      </w:r>
      <w:r w:rsidR="007F4071" w:rsidRPr="0067432D">
        <w:rPr>
          <w:sz w:val="24"/>
          <w:szCs w:val="24"/>
        </w:rPr>
        <w:t xml:space="preserve">, shall submit a completed </w:t>
      </w:r>
      <w:r w:rsidR="00833B9F" w:rsidRPr="0067432D">
        <w:rPr>
          <w:sz w:val="24"/>
          <w:szCs w:val="24"/>
        </w:rPr>
        <w:t>a</w:t>
      </w:r>
      <w:r w:rsidR="007F4071" w:rsidRPr="0067432D">
        <w:rPr>
          <w:sz w:val="24"/>
          <w:szCs w:val="24"/>
        </w:rPr>
        <w:t>pplication</w:t>
      </w:r>
      <w:r w:rsidR="00833B9F" w:rsidRPr="0067432D">
        <w:rPr>
          <w:sz w:val="24"/>
          <w:szCs w:val="24"/>
        </w:rPr>
        <w:t xml:space="preserve"> </w:t>
      </w:r>
      <w:r w:rsidR="00531BE4" w:rsidRPr="0067432D">
        <w:rPr>
          <w:sz w:val="24"/>
          <w:szCs w:val="24"/>
        </w:rPr>
        <w:t>along with a draft Inducement Resolution</w:t>
      </w:r>
      <w:r w:rsidR="00FE67FD" w:rsidRPr="0067432D">
        <w:rPr>
          <w:sz w:val="24"/>
          <w:szCs w:val="24"/>
        </w:rPr>
        <w:t>. IBank staff may convert any draft Inducement Resolution to an Inducement Certificate</w:t>
      </w:r>
      <w:r w:rsidR="00B859F2" w:rsidRPr="0067432D">
        <w:rPr>
          <w:sz w:val="24"/>
          <w:szCs w:val="24"/>
        </w:rPr>
        <w:t>.</w:t>
      </w:r>
      <w:r w:rsidR="004A39C6" w:rsidRPr="0067432D">
        <w:rPr>
          <w:sz w:val="24"/>
          <w:szCs w:val="24"/>
        </w:rPr>
        <w:t xml:space="preserve"> The application shall be on the </w:t>
      </w:r>
      <w:r w:rsidRPr="0067432D">
        <w:rPr>
          <w:sz w:val="24"/>
          <w:szCs w:val="24"/>
        </w:rPr>
        <w:t xml:space="preserve">form prepared by IBank’s staff and posted on IBank’s website at </w:t>
      </w:r>
      <w:hyperlink r:id="rId11" w:history="1">
        <w:r w:rsidRPr="0067432D">
          <w:rPr>
            <w:rStyle w:val="Hyperlink"/>
            <w:sz w:val="24"/>
            <w:szCs w:val="24"/>
          </w:rPr>
          <w:t>https://ibank.ca.gov/bonds/bond-applications-documents/</w:t>
        </w:r>
      </w:hyperlink>
      <w:r w:rsidRPr="0067432D">
        <w:rPr>
          <w:sz w:val="24"/>
          <w:szCs w:val="24"/>
        </w:rPr>
        <w:t>. IBank staff may from time to time modify the application form. Any such modification shall be posted on IBank’s</w:t>
      </w:r>
      <w:r>
        <w:rPr>
          <w:sz w:val="24"/>
          <w:szCs w:val="24"/>
        </w:rPr>
        <w:t xml:space="preserve"> </w:t>
      </w:r>
      <w:r w:rsidRPr="0067432D">
        <w:rPr>
          <w:sz w:val="24"/>
          <w:szCs w:val="24"/>
        </w:rPr>
        <w:t>website.</w:t>
      </w:r>
    </w:p>
    <w:p w14:paraId="6D3EE5A7" w14:textId="6623DFFB" w:rsidR="007F4071" w:rsidRPr="0067432D" w:rsidRDefault="00116AD4" w:rsidP="00B859F2">
      <w:pPr>
        <w:ind w:left="540"/>
        <w:jc w:val="both"/>
        <w:rPr>
          <w:sz w:val="24"/>
          <w:szCs w:val="24"/>
        </w:rPr>
      </w:pPr>
      <w:r w:rsidRPr="0067432D">
        <w:rPr>
          <w:sz w:val="24"/>
          <w:szCs w:val="24"/>
        </w:rPr>
        <w:t xml:space="preserve"> </w:t>
      </w:r>
    </w:p>
    <w:p w14:paraId="3DF17118" w14:textId="17D07E0F" w:rsidR="00B80C8B" w:rsidRDefault="00B80C8B" w:rsidP="0094292B">
      <w:pPr>
        <w:ind w:left="900" w:hanging="360"/>
        <w:jc w:val="both"/>
        <w:rPr>
          <w:sz w:val="24"/>
          <w:szCs w:val="24"/>
        </w:rPr>
      </w:pPr>
      <w:r w:rsidRPr="0094292B">
        <w:rPr>
          <w:sz w:val="24"/>
          <w:szCs w:val="24"/>
        </w:rPr>
        <w:t>B.</w:t>
      </w:r>
      <w:r>
        <w:rPr>
          <w:b/>
          <w:sz w:val="24"/>
          <w:szCs w:val="24"/>
        </w:rPr>
        <w:t xml:space="preserve"> </w:t>
      </w:r>
      <w:r w:rsidR="00BE7C12" w:rsidRPr="0067432D">
        <w:rPr>
          <w:b/>
          <w:sz w:val="24"/>
          <w:szCs w:val="24"/>
        </w:rPr>
        <w:t xml:space="preserve">Bond Issuance </w:t>
      </w:r>
      <w:r w:rsidR="007F4071" w:rsidRPr="0067432D">
        <w:rPr>
          <w:b/>
          <w:sz w:val="24"/>
          <w:szCs w:val="24"/>
        </w:rPr>
        <w:t>Resolutions</w:t>
      </w:r>
      <w:r w:rsidR="007F4071" w:rsidRPr="0067432D">
        <w:rPr>
          <w:sz w:val="24"/>
          <w:szCs w:val="24"/>
        </w:rPr>
        <w:t>. A</w:t>
      </w:r>
      <w:r w:rsidR="00BE7C12" w:rsidRPr="0067432D">
        <w:rPr>
          <w:sz w:val="24"/>
          <w:szCs w:val="24"/>
        </w:rPr>
        <w:t xml:space="preserve">n </w:t>
      </w:r>
      <w:r w:rsidR="00EE41FF" w:rsidRPr="0067432D">
        <w:rPr>
          <w:sz w:val="24"/>
          <w:szCs w:val="24"/>
        </w:rPr>
        <w:t>applicant</w:t>
      </w:r>
      <w:r w:rsidR="00BC4332" w:rsidRPr="0067432D">
        <w:rPr>
          <w:sz w:val="24"/>
          <w:szCs w:val="24"/>
        </w:rPr>
        <w:t xml:space="preserve"> </w:t>
      </w:r>
      <w:r w:rsidR="00BE7C12" w:rsidRPr="0067432D">
        <w:rPr>
          <w:sz w:val="24"/>
          <w:szCs w:val="24"/>
        </w:rPr>
        <w:t>seeking</w:t>
      </w:r>
      <w:r w:rsidR="007F4071" w:rsidRPr="0067432D">
        <w:rPr>
          <w:sz w:val="24"/>
          <w:szCs w:val="24"/>
        </w:rPr>
        <w:t xml:space="preserve"> </w:t>
      </w:r>
      <w:r w:rsidR="002044AE" w:rsidRPr="0067432D">
        <w:rPr>
          <w:sz w:val="24"/>
          <w:szCs w:val="24"/>
        </w:rPr>
        <w:t>IBank</w:t>
      </w:r>
      <w:r w:rsidR="00BE7C12" w:rsidRPr="0067432D">
        <w:rPr>
          <w:sz w:val="24"/>
          <w:szCs w:val="24"/>
        </w:rPr>
        <w:t>’s adoption of</w:t>
      </w:r>
      <w:r w:rsidR="007F4071" w:rsidRPr="0067432D">
        <w:rPr>
          <w:sz w:val="24"/>
          <w:szCs w:val="24"/>
        </w:rPr>
        <w:t xml:space="preserve"> a resolution authorizing the </w:t>
      </w:r>
      <w:r w:rsidR="00BE7C12" w:rsidRPr="0067432D">
        <w:rPr>
          <w:sz w:val="24"/>
          <w:szCs w:val="24"/>
        </w:rPr>
        <w:t>issuance</w:t>
      </w:r>
      <w:r w:rsidR="007F4071" w:rsidRPr="0067432D">
        <w:rPr>
          <w:sz w:val="24"/>
          <w:szCs w:val="24"/>
        </w:rPr>
        <w:t xml:space="preserve"> of </w:t>
      </w:r>
      <w:r w:rsidR="00CC0525" w:rsidRPr="0067432D">
        <w:rPr>
          <w:sz w:val="24"/>
          <w:szCs w:val="24"/>
        </w:rPr>
        <w:t>bonds</w:t>
      </w:r>
      <w:r w:rsidR="007F4071" w:rsidRPr="0067432D">
        <w:rPr>
          <w:sz w:val="24"/>
          <w:szCs w:val="24"/>
        </w:rPr>
        <w:t>, shall submit</w:t>
      </w:r>
      <w:r w:rsidR="00BE7C12" w:rsidRPr="0067432D">
        <w:rPr>
          <w:sz w:val="24"/>
          <w:szCs w:val="24"/>
        </w:rPr>
        <w:t>, either individually or in connection with</w:t>
      </w:r>
      <w:r w:rsidR="007F4071" w:rsidRPr="0067432D">
        <w:rPr>
          <w:sz w:val="24"/>
          <w:szCs w:val="24"/>
        </w:rPr>
        <w:t xml:space="preserve"> the </w:t>
      </w:r>
      <w:r w:rsidR="006C24E9" w:rsidRPr="0067432D">
        <w:rPr>
          <w:sz w:val="24"/>
          <w:szCs w:val="24"/>
        </w:rPr>
        <w:t xml:space="preserve">application seeking </w:t>
      </w:r>
      <w:r w:rsidR="007F4071" w:rsidRPr="0067432D">
        <w:rPr>
          <w:sz w:val="24"/>
          <w:szCs w:val="24"/>
        </w:rPr>
        <w:t>adoption of a</w:t>
      </w:r>
      <w:r w:rsidR="00531BE4" w:rsidRPr="0067432D">
        <w:rPr>
          <w:sz w:val="24"/>
          <w:szCs w:val="24"/>
        </w:rPr>
        <w:t>n Inducement Resolution</w:t>
      </w:r>
      <w:r w:rsidR="00FE67FD" w:rsidRPr="0067432D">
        <w:rPr>
          <w:sz w:val="24"/>
          <w:szCs w:val="24"/>
        </w:rPr>
        <w:t>/Certificate</w:t>
      </w:r>
      <w:r w:rsidR="00B8440D" w:rsidRPr="0067432D">
        <w:rPr>
          <w:sz w:val="24"/>
          <w:szCs w:val="24"/>
        </w:rPr>
        <w:t>,</w:t>
      </w:r>
      <w:r w:rsidR="007F4071" w:rsidRPr="0067432D">
        <w:rPr>
          <w:sz w:val="24"/>
          <w:szCs w:val="24"/>
        </w:rPr>
        <w:t xml:space="preserve"> a completed application</w:t>
      </w:r>
      <w:r w:rsidR="007B349D" w:rsidRPr="0067432D">
        <w:rPr>
          <w:sz w:val="24"/>
          <w:szCs w:val="24"/>
        </w:rPr>
        <w:t xml:space="preserve"> </w:t>
      </w:r>
      <w:r w:rsidRPr="0067432D">
        <w:rPr>
          <w:sz w:val="24"/>
          <w:szCs w:val="24"/>
        </w:rPr>
        <w:t xml:space="preserve">on the form prepared by IBank’s staff and posted on IBank’s website at </w:t>
      </w:r>
      <w:hyperlink r:id="rId12" w:history="1">
        <w:r w:rsidRPr="0067432D">
          <w:rPr>
            <w:rStyle w:val="Hyperlink"/>
            <w:sz w:val="24"/>
            <w:szCs w:val="24"/>
          </w:rPr>
          <w:t>https://ibank.ca.gov/bonds/bond-applications-documents/</w:t>
        </w:r>
      </w:hyperlink>
      <w:r w:rsidRPr="0067432D">
        <w:rPr>
          <w:sz w:val="24"/>
          <w:szCs w:val="24"/>
        </w:rPr>
        <w:t>. IBank staff may from time to time modify the application form. Any such modification shall be posted on IBank’s website.</w:t>
      </w:r>
    </w:p>
    <w:p w14:paraId="28D82F47" w14:textId="3A332293" w:rsidR="00786DB8" w:rsidRDefault="00786DB8" w:rsidP="00B80C8B">
      <w:pPr>
        <w:ind w:left="1080"/>
        <w:jc w:val="both"/>
        <w:rPr>
          <w:sz w:val="24"/>
          <w:szCs w:val="24"/>
        </w:rPr>
      </w:pPr>
    </w:p>
    <w:p w14:paraId="5AF17339" w14:textId="408EB29B" w:rsidR="007F4071" w:rsidRPr="0067432D" w:rsidRDefault="006C114B">
      <w:pPr>
        <w:numPr>
          <w:ilvl w:val="0"/>
          <w:numId w:val="10"/>
        </w:numPr>
        <w:ind w:left="540" w:hanging="540"/>
        <w:rPr>
          <w:sz w:val="24"/>
          <w:szCs w:val="24"/>
        </w:rPr>
      </w:pPr>
      <w:r w:rsidRPr="006C114B">
        <w:rPr>
          <w:b/>
          <w:sz w:val="24"/>
          <w:szCs w:val="24"/>
          <w:u w:val="single"/>
        </w:rPr>
        <w:t>Application Process</w:t>
      </w:r>
      <w:r>
        <w:rPr>
          <w:sz w:val="24"/>
          <w:szCs w:val="24"/>
        </w:rPr>
        <w:t xml:space="preserve"> </w:t>
      </w:r>
    </w:p>
    <w:p w14:paraId="7BDE4611" w14:textId="77777777" w:rsidR="007F4071" w:rsidRDefault="007F4071">
      <w:pPr>
        <w:numPr>
          <w:ilvl w:val="12"/>
          <w:numId w:val="0"/>
        </w:numPr>
        <w:rPr>
          <w:sz w:val="24"/>
        </w:rPr>
      </w:pPr>
    </w:p>
    <w:p w14:paraId="1932FDC1" w14:textId="3480C2F7" w:rsidR="007F4071" w:rsidRDefault="007F4071" w:rsidP="00C31BF3">
      <w:pPr>
        <w:numPr>
          <w:ilvl w:val="0"/>
          <w:numId w:val="11"/>
        </w:numPr>
        <w:jc w:val="both"/>
        <w:rPr>
          <w:sz w:val="24"/>
        </w:rPr>
      </w:pPr>
      <w:r>
        <w:rPr>
          <w:b/>
          <w:sz w:val="24"/>
        </w:rPr>
        <w:t>Inducement Resolution</w:t>
      </w:r>
      <w:r w:rsidR="00FE67FD">
        <w:rPr>
          <w:b/>
          <w:sz w:val="24"/>
        </w:rPr>
        <w:t>/Certificate</w:t>
      </w:r>
      <w:r>
        <w:rPr>
          <w:sz w:val="24"/>
        </w:rPr>
        <w:t>. A</w:t>
      </w:r>
      <w:r w:rsidR="007B349D">
        <w:rPr>
          <w:sz w:val="24"/>
        </w:rPr>
        <w:t xml:space="preserve">n </w:t>
      </w:r>
      <w:r w:rsidR="00EE41FF">
        <w:rPr>
          <w:sz w:val="24"/>
        </w:rPr>
        <w:t>applicant</w:t>
      </w:r>
      <w:r>
        <w:rPr>
          <w:sz w:val="24"/>
        </w:rPr>
        <w:t xml:space="preserve"> must submit one original </w:t>
      </w:r>
      <w:r w:rsidR="00B37F7F">
        <w:rPr>
          <w:sz w:val="24"/>
        </w:rPr>
        <w:t xml:space="preserve">signed </w:t>
      </w:r>
      <w:r>
        <w:rPr>
          <w:sz w:val="24"/>
        </w:rPr>
        <w:t>cop</w:t>
      </w:r>
      <w:r w:rsidR="00B37F7F">
        <w:rPr>
          <w:sz w:val="24"/>
        </w:rPr>
        <w:t>y</w:t>
      </w:r>
      <w:r>
        <w:rPr>
          <w:sz w:val="24"/>
        </w:rPr>
        <w:t xml:space="preserve"> of </w:t>
      </w:r>
      <w:r w:rsidR="00B37F7F">
        <w:rPr>
          <w:sz w:val="24"/>
        </w:rPr>
        <w:t>the</w:t>
      </w:r>
      <w:r>
        <w:rPr>
          <w:sz w:val="24"/>
        </w:rPr>
        <w:t xml:space="preserve"> application</w:t>
      </w:r>
      <w:r w:rsidR="00B37F7F">
        <w:rPr>
          <w:sz w:val="24"/>
        </w:rPr>
        <w:t xml:space="preserve"> along with a draft of the Inducement Resolution to </w:t>
      </w:r>
      <w:r w:rsidR="002044AE">
        <w:rPr>
          <w:sz w:val="24"/>
        </w:rPr>
        <w:t>IBank</w:t>
      </w:r>
      <w:r>
        <w:rPr>
          <w:sz w:val="24"/>
        </w:rPr>
        <w:t xml:space="preserve"> no</w:t>
      </w:r>
      <w:r w:rsidR="00881EEA">
        <w:rPr>
          <w:sz w:val="24"/>
        </w:rPr>
        <w:t xml:space="preserve"> later than the </w:t>
      </w:r>
      <w:r w:rsidR="00881EEA" w:rsidRPr="005947D2">
        <w:rPr>
          <w:sz w:val="24"/>
        </w:rPr>
        <w:t>application deadline for the</w:t>
      </w:r>
      <w:r w:rsidR="00881EEA">
        <w:rPr>
          <w:sz w:val="24"/>
        </w:rPr>
        <w:t xml:space="preserve"> relevant</w:t>
      </w:r>
      <w:r w:rsidR="00881EEA" w:rsidRPr="005947D2">
        <w:rPr>
          <w:sz w:val="24"/>
        </w:rPr>
        <w:t xml:space="preserve"> Board meeting</w:t>
      </w:r>
      <w:r w:rsidR="00881EEA">
        <w:rPr>
          <w:sz w:val="24"/>
        </w:rPr>
        <w:t xml:space="preserve"> date set forth</w:t>
      </w:r>
      <w:r w:rsidR="00845110">
        <w:rPr>
          <w:sz w:val="24"/>
        </w:rPr>
        <w:t xml:space="preserve"> in the conduit bond Board meeting deadlines shown</w:t>
      </w:r>
      <w:r w:rsidR="00881EEA">
        <w:rPr>
          <w:sz w:val="24"/>
        </w:rPr>
        <w:t xml:space="preserve"> on </w:t>
      </w:r>
      <w:hyperlink r:id="rId13" w:history="1">
        <w:r w:rsidR="00881EEA" w:rsidRPr="00275F01">
          <w:rPr>
            <w:rStyle w:val="Hyperlink"/>
            <w:sz w:val="24"/>
          </w:rPr>
          <w:t>https://ibank.ca.gov/board/board-meeting-deadlines-2020/</w:t>
        </w:r>
      </w:hyperlink>
      <w:r w:rsidR="00DD0902">
        <w:rPr>
          <w:sz w:val="24"/>
        </w:rPr>
        <w:t xml:space="preserve"> </w:t>
      </w:r>
      <w:r w:rsidR="00881EEA" w:rsidRPr="005947D2">
        <w:rPr>
          <w:sz w:val="24"/>
        </w:rPr>
        <w:t>(“</w:t>
      </w:r>
      <w:hyperlink r:id="rId14" w:history="1">
        <w:r w:rsidR="00DD0902" w:rsidRPr="00DD0902">
          <w:rPr>
            <w:rStyle w:val="Hyperlink"/>
            <w:sz w:val="24"/>
          </w:rPr>
          <w:t>Board Meeting Deadline</w:t>
        </w:r>
      </w:hyperlink>
      <w:r w:rsidR="00881EEA" w:rsidRPr="00DD0902">
        <w:rPr>
          <w:rStyle w:val="Hyperlink"/>
        </w:rPr>
        <w:t>s</w:t>
      </w:r>
      <w:r w:rsidR="00881EEA" w:rsidRPr="005947D2">
        <w:rPr>
          <w:sz w:val="24"/>
        </w:rPr>
        <w:t xml:space="preserve">”), to </w:t>
      </w:r>
      <w:hyperlink r:id="rId15" w:history="1">
        <w:r w:rsidR="00881EEA" w:rsidRPr="00C67943">
          <w:rPr>
            <w:rStyle w:val="Hyperlink"/>
            <w:sz w:val="24"/>
          </w:rPr>
          <w:t>BondUnit@IBank.CA.GOV</w:t>
        </w:r>
      </w:hyperlink>
      <w:r w:rsidR="002670F7">
        <w:rPr>
          <w:sz w:val="24"/>
        </w:rPr>
        <w:t>.</w:t>
      </w:r>
      <w:r w:rsidR="007B349D">
        <w:rPr>
          <w:sz w:val="24"/>
        </w:rPr>
        <w:t xml:space="preserve"> The </w:t>
      </w:r>
      <w:r w:rsidR="00881EEA">
        <w:rPr>
          <w:sz w:val="24"/>
        </w:rPr>
        <w:t>Board Meeting</w:t>
      </w:r>
      <w:r w:rsidR="007B349D">
        <w:rPr>
          <w:sz w:val="24"/>
        </w:rPr>
        <w:t xml:space="preserve"> </w:t>
      </w:r>
      <w:r w:rsidR="00881EEA">
        <w:rPr>
          <w:sz w:val="24"/>
        </w:rPr>
        <w:t>D</w:t>
      </w:r>
      <w:r w:rsidR="007B349D">
        <w:rPr>
          <w:sz w:val="24"/>
        </w:rPr>
        <w:t xml:space="preserve">eadlines are </w:t>
      </w:r>
      <w:r w:rsidR="00391E82">
        <w:rPr>
          <w:sz w:val="24"/>
        </w:rPr>
        <w:t>prepared by IBank’s sta</w:t>
      </w:r>
      <w:r w:rsidR="00CD604E">
        <w:rPr>
          <w:sz w:val="24"/>
        </w:rPr>
        <w:t>f</w:t>
      </w:r>
      <w:r w:rsidR="002670F7">
        <w:rPr>
          <w:sz w:val="24"/>
        </w:rPr>
        <w:t>f</w:t>
      </w:r>
      <w:r w:rsidR="00BC4332">
        <w:rPr>
          <w:sz w:val="24"/>
        </w:rPr>
        <w:t>.</w:t>
      </w:r>
      <w:r w:rsidR="00961F41">
        <w:rPr>
          <w:sz w:val="24"/>
        </w:rPr>
        <w:t xml:space="preserve"> IBank staff may from time t</w:t>
      </w:r>
      <w:r w:rsidR="00CD604E">
        <w:rPr>
          <w:sz w:val="24"/>
        </w:rPr>
        <w:t>o time modify the Board Meeting D</w:t>
      </w:r>
      <w:r w:rsidR="00961F41">
        <w:rPr>
          <w:sz w:val="24"/>
        </w:rPr>
        <w:t>eadlines. Any such modifications shall be posted on IBank’s website.</w:t>
      </w:r>
      <w:r w:rsidR="00845110">
        <w:rPr>
          <w:sz w:val="24"/>
        </w:rPr>
        <w:t xml:space="preserve"> </w:t>
      </w:r>
    </w:p>
    <w:p w14:paraId="543D8717" w14:textId="77777777" w:rsidR="007F4071" w:rsidRDefault="007F4071">
      <w:pPr>
        <w:numPr>
          <w:ilvl w:val="12"/>
          <w:numId w:val="0"/>
        </w:numPr>
        <w:ind w:left="900" w:hanging="360"/>
        <w:rPr>
          <w:sz w:val="24"/>
        </w:rPr>
      </w:pPr>
    </w:p>
    <w:p w14:paraId="57745D1D" w14:textId="2FB600A4" w:rsidR="007F4071" w:rsidRDefault="002044AE" w:rsidP="00C31BF3">
      <w:pPr>
        <w:numPr>
          <w:ilvl w:val="12"/>
          <w:numId w:val="0"/>
        </w:numPr>
        <w:ind w:left="900"/>
        <w:jc w:val="both"/>
        <w:rPr>
          <w:sz w:val="24"/>
        </w:rPr>
      </w:pPr>
      <w:r>
        <w:rPr>
          <w:sz w:val="24"/>
        </w:rPr>
        <w:t>IBank</w:t>
      </w:r>
      <w:r w:rsidR="007F4071">
        <w:rPr>
          <w:sz w:val="24"/>
        </w:rPr>
        <w:t xml:space="preserve"> staff shall </w:t>
      </w:r>
      <w:r w:rsidR="00846E58">
        <w:rPr>
          <w:sz w:val="24"/>
        </w:rPr>
        <w:t xml:space="preserve">advise the </w:t>
      </w:r>
      <w:r w:rsidR="00EE41FF">
        <w:rPr>
          <w:sz w:val="24"/>
        </w:rPr>
        <w:t>applicant</w:t>
      </w:r>
      <w:r w:rsidR="00846E58">
        <w:rPr>
          <w:sz w:val="24"/>
        </w:rPr>
        <w:t xml:space="preserve"> whether the application is complete within </w:t>
      </w:r>
      <w:r w:rsidR="00E55FB8">
        <w:rPr>
          <w:sz w:val="24"/>
        </w:rPr>
        <w:t>five</w:t>
      </w:r>
      <w:r w:rsidR="00846E58">
        <w:rPr>
          <w:sz w:val="24"/>
        </w:rPr>
        <w:t xml:space="preserve"> business days of recei</w:t>
      </w:r>
      <w:r w:rsidR="0069319E">
        <w:rPr>
          <w:sz w:val="24"/>
        </w:rPr>
        <w:t>pt</w:t>
      </w:r>
      <w:r w:rsidR="00846E58">
        <w:rPr>
          <w:sz w:val="24"/>
        </w:rPr>
        <w:t>. For complete</w:t>
      </w:r>
      <w:r w:rsidR="00EE41FF">
        <w:rPr>
          <w:sz w:val="24"/>
        </w:rPr>
        <w:t>d</w:t>
      </w:r>
      <w:r w:rsidR="00846E58">
        <w:rPr>
          <w:sz w:val="24"/>
        </w:rPr>
        <w:t xml:space="preserve"> applications</w:t>
      </w:r>
      <w:r w:rsidR="00EE41FF">
        <w:rPr>
          <w:sz w:val="24"/>
        </w:rPr>
        <w:t>,</w:t>
      </w:r>
      <w:r w:rsidR="00846E58">
        <w:rPr>
          <w:sz w:val="24"/>
        </w:rPr>
        <w:t xml:space="preserve"> the Executive Director in </w:t>
      </w:r>
      <w:r w:rsidR="007B349D">
        <w:rPr>
          <w:sz w:val="24"/>
        </w:rPr>
        <w:t>his or her</w:t>
      </w:r>
      <w:r w:rsidR="00846E58">
        <w:rPr>
          <w:sz w:val="24"/>
        </w:rPr>
        <w:t xml:space="preserve"> discretion will determine whether to </w:t>
      </w:r>
      <w:r w:rsidR="0038104F">
        <w:rPr>
          <w:sz w:val="24"/>
        </w:rPr>
        <w:t>consider</w:t>
      </w:r>
      <w:r w:rsidR="00F1151C">
        <w:rPr>
          <w:sz w:val="24"/>
        </w:rPr>
        <w:t xml:space="preserve"> execution</w:t>
      </w:r>
      <w:r w:rsidR="00846E58">
        <w:rPr>
          <w:sz w:val="24"/>
        </w:rPr>
        <w:t xml:space="preserve"> of </w:t>
      </w:r>
      <w:r w:rsidR="00FE67FD">
        <w:rPr>
          <w:sz w:val="24"/>
        </w:rPr>
        <w:t>an Inducement Certificate</w:t>
      </w:r>
      <w:r w:rsidR="00846E58">
        <w:rPr>
          <w:sz w:val="24"/>
        </w:rPr>
        <w:t xml:space="preserve"> pursuant to his/her delegated authority</w:t>
      </w:r>
      <w:r w:rsidR="00F47B47">
        <w:rPr>
          <w:sz w:val="24"/>
        </w:rPr>
        <w:t xml:space="preserve">, </w:t>
      </w:r>
      <w:r w:rsidR="00846E58">
        <w:rPr>
          <w:sz w:val="24"/>
        </w:rPr>
        <w:t>i</w:t>
      </w:r>
      <w:r w:rsidR="00F47B47">
        <w:rPr>
          <w:sz w:val="24"/>
        </w:rPr>
        <w:t>f</w:t>
      </w:r>
      <w:r w:rsidR="00846E58">
        <w:rPr>
          <w:sz w:val="24"/>
        </w:rPr>
        <w:t xml:space="preserve"> </w:t>
      </w:r>
      <w:r w:rsidR="00F47B47">
        <w:rPr>
          <w:sz w:val="24"/>
        </w:rPr>
        <w:t>any</w:t>
      </w:r>
      <w:r w:rsidR="00846E58">
        <w:rPr>
          <w:sz w:val="24"/>
        </w:rPr>
        <w:t xml:space="preserve"> then </w:t>
      </w:r>
      <w:r w:rsidR="00F1151C">
        <w:rPr>
          <w:sz w:val="24"/>
        </w:rPr>
        <w:t>ex</w:t>
      </w:r>
      <w:r w:rsidR="0069319E">
        <w:rPr>
          <w:sz w:val="24"/>
        </w:rPr>
        <w:t>ist</w:t>
      </w:r>
      <w:r w:rsidR="0038104F">
        <w:rPr>
          <w:sz w:val="24"/>
        </w:rPr>
        <w:t>s</w:t>
      </w:r>
      <w:r w:rsidR="00F1151C">
        <w:rPr>
          <w:sz w:val="24"/>
        </w:rPr>
        <w:t>,</w:t>
      </w:r>
      <w:r w:rsidR="004E0EA5">
        <w:rPr>
          <w:sz w:val="24"/>
        </w:rPr>
        <w:t xml:space="preserve"> or to </w:t>
      </w:r>
      <w:r w:rsidR="0069319E">
        <w:rPr>
          <w:sz w:val="24"/>
        </w:rPr>
        <w:t>present</w:t>
      </w:r>
      <w:r w:rsidR="007A37C2">
        <w:rPr>
          <w:sz w:val="24"/>
        </w:rPr>
        <w:t xml:space="preserve"> </w:t>
      </w:r>
      <w:r w:rsidR="00FE67FD">
        <w:rPr>
          <w:sz w:val="24"/>
        </w:rPr>
        <w:t>an Inducement Resolution</w:t>
      </w:r>
      <w:r w:rsidR="007A37C2">
        <w:rPr>
          <w:sz w:val="24"/>
        </w:rPr>
        <w:t xml:space="preserve"> to the Board for approval. Upon adoption of an Inducement Resolution</w:t>
      </w:r>
      <w:r w:rsidR="00B14581">
        <w:rPr>
          <w:sz w:val="24"/>
        </w:rPr>
        <w:t>/execution of an Inducement Certificate</w:t>
      </w:r>
      <w:r w:rsidR="007154C9">
        <w:rPr>
          <w:sz w:val="24"/>
        </w:rPr>
        <w:t xml:space="preserve">, the </w:t>
      </w:r>
      <w:r w:rsidR="00FE67FD">
        <w:rPr>
          <w:sz w:val="24"/>
        </w:rPr>
        <w:t>a</w:t>
      </w:r>
      <w:r w:rsidR="00EE41FF">
        <w:rPr>
          <w:sz w:val="24"/>
        </w:rPr>
        <w:t>pplicant</w:t>
      </w:r>
      <w:r w:rsidR="007154C9">
        <w:rPr>
          <w:sz w:val="24"/>
        </w:rPr>
        <w:t xml:space="preserve"> may proceed with the Section III.B below, provided that the </w:t>
      </w:r>
      <w:r w:rsidR="00FE67FD">
        <w:rPr>
          <w:sz w:val="24"/>
        </w:rPr>
        <w:t>a</w:t>
      </w:r>
      <w:r w:rsidR="00EE41FF">
        <w:rPr>
          <w:sz w:val="24"/>
        </w:rPr>
        <w:t>pplicant</w:t>
      </w:r>
      <w:r w:rsidR="007154C9">
        <w:rPr>
          <w:sz w:val="24"/>
        </w:rPr>
        <w:t xml:space="preserve"> has</w:t>
      </w:r>
      <w:r w:rsidR="00E31E41">
        <w:rPr>
          <w:sz w:val="24"/>
        </w:rPr>
        <w:t xml:space="preserve"> (1)</w:t>
      </w:r>
      <w:r w:rsidR="007154C9">
        <w:rPr>
          <w:sz w:val="24"/>
        </w:rPr>
        <w:t xml:space="preserve"> successfully obtained </w:t>
      </w:r>
      <w:r w:rsidR="007A37C2">
        <w:rPr>
          <w:sz w:val="24"/>
        </w:rPr>
        <w:t xml:space="preserve">any necessary </w:t>
      </w:r>
      <w:r w:rsidR="007154C9">
        <w:rPr>
          <w:sz w:val="24"/>
        </w:rPr>
        <w:t>approval</w:t>
      </w:r>
      <w:r w:rsidR="00E31E41">
        <w:rPr>
          <w:sz w:val="24"/>
        </w:rPr>
        <w:t xml:space="preserve"> from the California Debt Limit Allocation Committee</w:t>
      </w:r>
      <w:r w:rsidR="00391E82">
        <w:rPr>
          <w:sz w:val="24"/>
        </w:rPr>
        <w:t xml:space="preserve"> or its </w:t>
      </w:r>
      <w:r w:rsidR="00391E82">
        <w:rPr>
          <w:sz w:val="24"/>
        </w:rPr>
        <w:lastRenderedPageBreak/>
        <w:t>successor(s)</w:t>
      </w:r>
      <w:r w:rsidR="00E31E41">
        <w:rPr>
          <w:sz w:val="24"/>
        </w:rPr>
        <w:t xml:space="preserve"> (“CDLAC”),</w:t>
      </w:r>
      <w:r w:rsidR="002451D5">
        <w:rPr>
          <w:sz w:val="24"/>
        </w:rPr>
        <w:t xml:space="preserve"> </w:t>
      </w:r>
      <w:r w:rsidR="00E31E41">
        <w:rPr>
          <w:sz w:val="24"/>
        </w:rPr>
        <w:t>(2)</w:t>
      </w:r>
      <w:r w:rsidR="007154C9">
        <w:rPr>
          <w:sz w:val="24"/>
        </w:rPr>
        <w:t xml:space="preserve"> </w:t>
      </w:r>
      <w:r w:rsidR="00E31E41">
        <w:rPr>
          <w:sz w:val="24"/>
        </w:rPr>
        <w:t>submitted to IBank</w:t>
      </w:r>
      <w:r w:rsidR="007154C9">
        <w:rPr>
          <w:sz w:val="24"/>
        </w:rPr>
        <w:t xml:space="preserve"> copy of the executed CDLAC </w:t>
      </w:r>
      <w:r w:rsidR="00FE67FD">
        <w:rPr>
          <w:sz w:val="24"/>
        </w:rPr>
        <w:t>r</w:t>
      </w:r>
      <w:r w:rsidR="007154C9">
        <w:rPr>
          <w:sz w:val="24"/>
        </w:rPr>
        <w:t>esolution</w:t>
      </w:r>
      <w:r w:rsidR="00E31E41">
        <w:rPr>
          <w:sz w:val="24"/>
        </w:rPr>
        <w:t xml:space="preserve"> for the </w:t>
      </w:r>
      <w:r w:rsidR="005A1132">
        <w:rPr>
          <w:sz w:val="24"/>
        </w:rPr>
        <w:t>Economic Development Facility</w:t>
      </w:r>
      <w:r w:rsidR="00E31E41">
        <w:rPr>
          <w:sz w:val="24"/>
        </w:rPr>
        <w:t xml:space="preserve"> to be financed, and (3)</w:t>
      </w:r>
      <w:r w:rsidR="007154C9">
        <w:rPr>
          <w:sz w:val="24"/>
        </w:rPr>
        <w:t xml:space="preserve"> submitted to </w:t>
      </w:r>
      <w:r>
        <w:rPr>
          <w:sz w:val="24"/>
        </w:rPr>
        <w:t>IBank</w:t>
      </w:r>
      <w:r w:rsidR="007154C9">
        <w:rPr>
          <w:sz w:val="24"/>
        </w:rPr>
        <w:t xml:space="preserve"> a </w:t>
      </w:r>
      <w:r w:rsidR="00E31E41">
        <w:rPr>
          <w:sz w:val="24"/>
        </w:rPr>
        <w:t>f</w:t>
      </w:r>
      <w:r w:rsidR="007154C9">
        <w:rPr>
          <w:sz w:val="24"/>
        </w:rPr>
        <w:t xml:space="preserve">irst draft of </w:t>
      </w:r>
      <w:r w:rsidR="00E31E41">
        <w:rPr>
          <w:sz w:val="24"/>
        </w:rPr>
        <w:t>the B</w:t>
      </w:r>
      <w:r w:rsidR="00D646D1">
        <w:rPr>
          <w:sz w:val="24"/>
        </w:rPr>
        <w:t>ond</w:t>
      </w:r>
      <w:r w:rsidR="007154C9">
        <w:rPr>
          <w:sz w:val="24"/>
        </w:rPr>
        <w:t xml:space="preserve"> documents as discussed on Section III.B. </w:t>
      </w:r>
    </w:p>
    <w:p w14:paraId="2625009F" w14:textId="77777777" w:rsidR="007F4071" w:rsidRDefault="007F4071">
      <w:pPr>
        <w:numPr>
          <w:ilvl w:val="12"/>
          <w:numId w:val="0"/>
        </w:numPr>
        <w:ind w:left="900" w:hanging="360"/>
        <w:rPr>
          <w:sz w:val="24"/>
        </w:rPr>
      </w:pPr>
    </w:p>
    <w:p w14:paraId="74959A7E" w14:textId="368240BF" w:rsidR="007F4071" w:rsidRPr="001D4321" w:rsidRDefault="007F4071" w:rsidP="00225764">
      <w:pPr>
        <w:ind w:left="885" w:right="13"/>
        <w:jc w:val="both"/>
        <w:rPr>
          <w:color w:val="000000"/>
          <w:sz w:val="24"/>
          <w:szCs w:val="24"/>
        </w:rPr>
      </w:pPr>
      <w:r w:rsidRPr="001D4321">
        <w:rPr>
          <w:sz w:val="24"/>
          <w:szCs w:val="24"/>
        </w:rPr>
        <w:t xml:space="preserve">If the application is not complete, the </w:t>
      </w:r>
      <w:r w:rsidR="004C155E" w:rsidRPr="001D4321">
        <w:rPr>
          <w:sz w:val="24"/>
          <w:szCs w:val="24"/>
        </w:rPr>
        <w:t xml:space="preserve">communication </w:t>
      </w:r>
      <w:r w:rsidRPr="001D4321">
        <w:rPr>
          <w:sz w:val="24"/>
          <w:szCs w:val="24"/>
        </w:rPr>
        <w:t xml:space="preserve">shall specify the deficiencies and provide the </w:t>
      </w:r>
      <w:r w:rsidR="005112F3" w:rsidRPr="001D4321">
        <w:rPr>
          <w:sz w:val="24"/>
          <w:szCs w:val="24"/>
        </w:rPr>
        <w:t>a</w:t>
      </w:r>
      <w:r w:rsidR="00EE41FF" w:rsidRPr="001D4321">
        <w:rPr>
          <w:sz w:val="24"/>
          <w:szCs w:val="24"/>
        </w:rPr>
        <w:t>pplicant</w:t>
      </w:r>
      <w:r w:rsidRPr="001D4321">
        <w:rPr>
          <w:sz w:val="24"/>
          <w:szCs w:val="24"/>
        </w:rPr>
        <w:t xml:space="preserve"> with one business day in which to correct the deficiencies. If the required information is received within one business day, </w:t>
      </w:r>
      <w:r w:rsidR="002044AE" w:rsidRPr="001D4321">
        <w:rPr>
          <w:sz w:val="24"/>
          <w:szCs w:val="24"/>
        </w:rPr>
        <w:t>IBank</w:t>
      </w:r>
      <w:r w:rsidRPr="001D4321">
        <w:rPr>
          <w:sz w:val="24"/>
          <w:szCs w:val="24"/>
        </w:rPr>
        <w:t xml:space="preserve"> staff shall promptly notify the </w:t>
      </w:r>
      <w:r w:rsidR="005112F3" w:rsidRPr="001D4321">
        <w:rPr>
          <w:sz w:val="24"/>
          <w:szCs w:val="24"/>
        </w:rPr>
        <w:t>a</w:t>
      </w:r>
      <w:r w:rsidR="00EE41FF" w:rsidRPr="001D4321">
        <w:rPr>
          <w:sz w:val="24"/>
          <w:szCs w:val="24"/>
        </w:rPr>
        <w:t>pplicant</w:t>
      </w:r>
      <w:r w:rsidRPr="001D4321">
        <w:rPr>
          <w:sz w:val="24"/>
          <w:szCs w:val="24"/>
        </w:rPr>
        <w:t xml:space="preserve">. If the required information is not received within one business day, </w:t>
      </w:r>
      <w:r w:rsidR="002044AE" w:rsidRPr="001D4321">
        <w:rPr>
          <w:sz w:val="24"/>
          <w:szCs w:val="24"/>
        </w:rPr>
        <w:t>IBank</w:t>
      </w:r>
      <w:r w:rsidRPr="001D4321">
        <w:rPr>
          <w:sz w:val="24"/>
          <w:szCs w:val="24"/>
        </w:rPr>
        <w:t xml:space="preserve"> staff shall </w:t>
      </w:r>
      <w:r w:rsidR="004C155E" w:rsidRPr="001D4321">
        <w:rPr>
          <w:sz w:val="24"/>
          <w:szCs w:val="24"/>
        </w:rPr>
        <w:t>notify</w:t>
      </w:r>
      <w:r w:rsidRPr="001D4321">
        <w:rPr>
          <w:sz w:val="24"/>
          <w:szCs w:val="24"/>
        </w:rPr>
        <w:t xml:space="preserve"> the </w:t>
      </w:r>
      <w:r w:rsidR="005112F3" w:rsidRPr="001D4321">
        <w:rPr>
          <w:sz w:val="24"/>
          <w:szCs w:val="24"/>
        </w:rPr>
        <w:t>a</w:t>
      </w:r>
      <w:r w:rsidR="00EE41FF" w:rsidRPr="001D4321">
        <w:rPr>
          <w:sz w:val="24"/>
          <w:szCs w:val="24"/>
        </w:rPr>
        <w:t>pplicant</w:t>
      </w:r>
      <w:r w:rsidRPr="001D4321">
        <w:rPr>
          <w:sz w:val="24"/>
          <w:szCs w:val="24"/>
        </w:rPr>
        <w:t xml:space="preserve"> that the application is still incomplete and </w:t>
      </w:r>
      <w:r w:rsidR="00B14581" w:rsidRPr="001D4321">
        <w:rPr>
          <w:sz w:val="24"/>
          <w:szCs w:val="24"/>
        </w:rPr>
        <w:t>may</w:t>
      </w:r>
      <w:r w:rsidRPr="001D4321">
        <w:rPr>
          <w:sz w:val="24"/>
          <w:szCs w:val="24"/>
        </w:rPr>
        <w:t xml:space="preserve"> not be </w:t>
      </w:r>
      <w:r w:rsidR="004E0EA5" w:rsidRPr="001D4321">
        <w:rPr>
          <w:sz w:val="24"/>
          <w:szCs w:val="24"/>
        </w:rPr>
        <w:t>considered.</w:t>
      </w:r>
      <w:r w:rsidR="005112F3" w:rsidRPr="001D4321">
        <w:rPr>
          <w:sz w:val="24"/>
          <w:szCs w:val="24"/>
        </w:rPr>
        <w:t xml:space="preserve"> The </w:t>
      </w:r>
      <w:r w:rsidR="00EE41FF" w:rsidRPr="001D4321">
        <w:rPr>
          <w:sz w:val="24"/>
          <w:szCs w:val="24"/>
        </w:rPr>
        <w:t>applicant</w:t>
      </w:r>
      <w:r w:rsidRPr="001D4321">
        <w:rPr>
          <w:sz w:val="24"/>
          <w:szCs w:val="24"/>
        </w:rPr>
        <w:t xml:space="preserve"> may submit </w:t>
      </w:r>
      <w:r w:rsidR="008E739F">
        <w:rPr>
          <w:sz w:val="24"/>
          <w:szCs w:val="24"/>
        </w:rPr>
        <w:t xml:space="preserve">a </w:t>
      </w:r>
      <w:r w:rsidR="00E55FB8" w:rsidRPr="001D4321">
        <w:rPr>
          <w:sz w:val="24"/>
          <w:szCs w:val="24"/>
        </w:rPr>
        <w:t>correct</w:t>
      </w:r>
      <w:r w:rsidR="00541FDB">
        <w:rPr>
          <w:sz w:val="24"/>
          <w:szCs w:val="24"/>
        </w:rPr>
        <w:t>ed</w:t>
      </w:r>
      <w:r w:rsidR="00E55FB8" w:rsidRPr="001D4321">
        <w:rPr>
          <w:sz w:val="24"/>
          <w:szCs w:val="24"/>
        </w:rPr>
        <w:t xml:space="preserve"> </w:t>
      </w:r>
      <w:r w:rsidRPr="001D4321">
        <w:rPr>
          <w:sz w:val="24"/>
          <w:szCs w:val="24"/>
        </w:rPr>
        <w:t xml:space="preserve">application for consideration at a subsequent </w:t>
      </w:r>
      <w:r w:rsidR="002044AE" w:rsidRPr="001D4321">
        <w:rPr>
          <w:sz w:val="24"/>
          <w:szCs w:val="24"/>
        </w:rPr>
        <w:t>IBank</w:t>
      </w:r>
      <w:r w:rsidRPr="001D4321">
        <w:rPr>
          <w:sz w:val="24"/>
          <w:szCs w:val="24"/>
        </w:rPr>
        <w:t xml:space="preserve"> meeting</w:t>
      </w:r>
      <w:r w:rsidR="004E0EA5" w:rsidRPr="001D4321">
        <w:rPr>
          <w:sz w:val="24"/>
          <w:szCs w:val="24"/>
        </w:rPr>
        <w:t xml:space="preserve"> </w:t>
      </w:r>
      <w:r w:rsidR="005112F3" w:rsidRPr="001D4321">
        <w:rPr>
          <w:sz w:val="24"/>
          <w:szCs w:val="24"/>
        </w:rPr>
        <w:t xml:space="preserve">within the </w:t>
      </w:r>
      <w:r w:rsidR="00541FDB">
        <w:rPr>
          <w:sz w:val="24"/>
          <w:szCs w:val="24"/>
        </w:rPr>
        <w:t xml:space="preserve">application submission </w:t>
      </w:r>
      <w:r w:rsidR="005112F3" w:rsidRPr="001D4321">
        <w:rPr>
          <w:sz w:val="24"/>
          <w:szCs w:val="24"/>
        </w:rPr>
        <w:t xml:space="preserve">time frame set forth in the </w:t>
      </w:r>
      <w:r w:rsidR="00CD604E" w:rsidRPr="001D4321">
        <w:rPr>
          <w:sz w:val="24"/>
          <w:szCs w:val="24"/>
        </w:rPr>
        <w:t>Board Meeting Deadlines</w:t>
      </w:r>
      <w:r w:rsidR="005112F3" w:rsidRPr="001D4321">
        <w:rPr>
          <w:sz w:val="24"/>
          <w:szCs w:val="24"/>
        </w:rPr>
        <w:t>.</w:t>
      </w:r>
    </w:p>
    <w:p w14:paraId="2A54BF99" w14:textId="54C9353B" w:rsidR="005112F3" w:rsidRPr="001D4321" w:rsidRDefault="005112F3" w:rsidP="001D4321">
      <w:pPr>
        <w:numPr>
          <w:ilvl w:val="12"/>
          <w:numId w:val="0"/>
        </w:numPr>
        <w:ind w:left="900"/>
        <w:jc w:val="both"/>
        <w:rPr>
          <w:sz w:val="24"/>
          <w:szCs w:val="24"/>
        </w:rPr>
      </w:pPr>
    </w:p>
    <w:p w14:paraId="104712BF" w14:textId="25035D18" w:rsidR="007F4071" w:rsidRPr="001D4321" w:rsidRDefault="006C114B" w:rsidP="00B56B34">
      <w:pPr>
        <w:ind w:left="900" w:hanging="360"/>
        <w:jc w:val="both"/>
        <w:rPr>
          <w:color w:val="000000"/>
          <w:sz w:val="24"/>
          <w:szCs w:val="24"/>
        </w:rPr>
      </w:pPr>
      <w:r w:rsidRPr="0094292B">
        <w:rPr>
          <w:sz w:val="24"/>
          <w:szCs w:val="24"/>
        </w:rPr>
        <w:t>B.</w:t>
      </w:r>
      <w:r>
        <w:rPr>
          <w:b/>
          <w:sz w:val="24"/>
          <w:szCs w:val="24"/>
        </w:rPr>
        <w:t xml:space="preserve">  </w:t>
      </w:r>
      <w:r w:rsidR="00B56B34">
        <w:rPr>
          <w:b/>
          <w:sz w:val="24"/>
          <w:szCs w:val="24"/>
        </w:rPr>
        <w:t xml:space="preserve"> </w:t>
      </w:r>
      <w:r w:rsidR="007F4071" w:rsidRPr="001D4321">
        <w:rPr>
          <w:b/>
          <w:sz w:val="24"/>
          <w:szCs w:val="24"/>
        </w:rPr>
        <w:t>Final Resolution</w:t>
      </w:r>
      <w:r w:rsidR="007F4071" w:rsidRPr="001D4321">
        <w:rPr>
          <w:sz w:val="24"/>
          <w:szCs w:val="24"/>
        </w:rPr>
        <w:t>. A</w:t>
      </w:r>
      <w:r w:rsidR="00275F01" w:rsidRPr="001D4321">
        <w:rPr>
          <w:sz w:val="24"/>
          <w:szCs w:val="24"/>
        </w:rPr>
        <w:t>n</w:t>
      </w:r>
      <w:r w:rsidR="007F4071" w:rsidRPr="001D4321">
        <w:rPr>
          <w:sz w:val="24"/>
          <w:szCs w:val="24"/>
        </w:rPr>
        <w:t xml:space="preserve"> </w:t>
      </w:r>
      <w:r w:rsidR="00EE41FF" w:rsidRPr="001D4321">
        <w:rPr>
          <w:sz w:val="24"/>
          <w:szCs w:val="24"/>
        </w:rPr>
        <w:t>applicant</w:t>
      </w:r>
      <w:r w:rsidR="007F4071" w:rsidRPr="001D4321">
        <w:rPr>
          <w:sz w:val="24"/>
          <w:szCs w:val="24"/>
        </w:rPr>
        <w:t xml:space="preserve"> must submit one original and </w:t>
      </w:r>
      <w:r w:rsidR="005112F3" w:rsidRPr="001D4321">
        <w:rPr>
          <w:sz w:val="24"/>
          <w:szCs w:val="24"/>
        </w:rPr>
        <w:t xml:space="preserve">a </w:t>
      </w:r>
      <w:r w:rsidR="007F4071" w:rsidRPr="001D4321">
        <w:rPr>
          <w:sz w:val="24"/>
          <w:szCs w:val="24"/>
        </w:rPr>
        <w:t>cop</w:t>
      </w:r>
      <w:r w:rsidR="00C40A23" w:rsidRPr="001D4321">
        <w:rPr>
          <w:sz w:val="24"/>
          <w:szCs w:val="24"/>
        </w:rPr>
        <w:t>y</w:t>
      </w:r>
      <w:r w:rsidR="007F4071" w:rsidRPr="001D4321">
        <w:rPr>
          <w:sz w:val="24"/>
          <w:szCs w:val="24"/>
        </w:rPr>
        <w:t xml:space="preserve"> of </w:t>
      </w:r>
      <w:r w:rsidR="005112F3" w:rsidRPr="001D4321">
        <w:rPr>
          <w:sz w:val="24"/>
          <w:szCs w:val="24"/>
        </w:rPr>
        <w:t xml:space="preserve">the </w:t>
      </w:r>
      <w:r w:rsidR="005947D2" w:rsidRPr="001D4321">
        <w:rPr>
          <w:sz w:val="24"/>
          <w:szCs w:val="24"/>
        </w:rPr>
        <w:t>a</w:t>
      </w:r>
      <w:r w:rsidR="00C40A23" w:rsidRPr="001D4321">
        <w:rPr>
          <w:sz w:val="24"/>
          <w:szCs w:val="24"/>
        </w:rPr>
        <w:t>pplication along with the</w:t>
      </w:r>
      <w:r w:rsidR="00B14581" w:rsidRPr="001D4321">
        <w:rPr>
          <w:sz w:val="24"/>
          <w:szCs w:val="24"/>
        </w:rPr>
        <w:t xml:space="preserve"> first</w:t>
      </w:r>
      <w:r w:rsidR="00C40A23" w:rsidRPr="001D4321">
        <w:rPr>
          <w:sz w:val="24"/>
          <w:szCs w:val="24"/>
        </w:rPr>
        <w:t xml:space="preserve"> draft of </w:t>
      </w:r>
      <w:r w:rsidR="00E30466" w:rsidRPr="001D4321">
        <w:rPr>
          <w:sz w:val="24"/>
          <w:szCs w:val="24"/>
        </w:rPr>
        <w:t>B</w:t>
      </w:r>
      <w:r w:rsidR="00D646D1" w:rsidRPr="001D4321">
        <w:rPr>
          <w:sz w:val="24"/>
          <w:szCs w:val="24"/>
        </w:rPr>
        <w:t>ond</w:t>
      </w:r>
      <w:r w:rsidR="00C40A23" w:rsidRPr="001D4321">
        <w:rPr>
          <w:sz w:val="24"/>
          <w:szCs w:val="24"/>
        </w:rPr>
        <w:t xml:space="preserve"> documents </w:t>
      </w:r>
      <w:r w:rsidR="007F4071" w:rsidRPr="001D4321">
        <w:rPr>
          <w:sz w:val="24"/>
          <w:szCs w:val="24"/>
        </w:rPr>
        <w:t>n</w:t>
      </w:r>
      <w:r w:rsidR="006621AA" w:rsidRPr="001D4321">
        <w:rPr>
          <w:sz w:val="24"/>
          <w:szCs w:val="24"/>
        </w:rPr>
        <w:t xml:space="preserve">o later than the </w:t>
      </w:r>
      <w:hyperlink r:id="rId16" w:history="1">
        <w:r w:rsidR="00CD604E" w:rsidRPr="001D4321">
          <w:rPr>
            <w:rStyle w:val="Hyperlink"/>
            <w:sz w:val="24"/>
            <w:szCs w:val="24"/>
          </w:rPr>
          <w:t>date</w:t>
        </w:r>
      </w:hyperlink>
      <w:r w:rsidR="00CD604E" w:rsidRPr="001D4321">
        <w:rPr>
          <w:sz w:val="24"/>
          <w:szCs w:val="24"/>
        </w:rPr>
        <w:t xml:space="preserve"> set forth in the Board Meeting Deadlines for the relevant Board Meeting</w:t>
      </w:r>
      <w:r w:rsidR="005947D2" w:rsidRPr="001D4321">
        <w:rPr>
          <w:sz w:val="24"/>
          <w:szCs w:val="24"/>
        </w:rPr>
        <w:t xml:space="preserve">. </w:t>
      </w:r>
      <w:r w:rsidR="00C40A23" w:rsidRPr="001D4321">
        <w:rPr>
          <w:sz w:val="24"/>
          <w:szCs w:val="24"/>
        </w:rPr>
        <w:t xml:space="preserve">A substantially final version of the </w:t>
      </w:r>
      <w:r w:rsidR="00E30466" w:rsidRPr="001D4321">
        <w:rPr>
          <w:sz w:val="24"/>
          <w:szCs w:val="24"/>
        </w:rPr>
        <w:t>B</w:t>
      </w:r>
      <w:r w:rsidR="00D646D1" w:rsidRPr="001D4321">
        <w:rPr>
          <w:sz w:val="24"/>
          <w:szCs w:val="24"/>
        </w:rPr>
        <w:t>ond</w:t>
      </w:r>
      <w:r w:rsidR="00C40A23" w:rsidRPr="001D4321">
        <w:rPr>
          <w:sz w:val="24"/>
          <w:szCs w:val="24"/>
        </w:rPr>
        <w:t xml:space="preserve"> documents </w:t>
      </w:r>
      <w:r w:rsidR="005A1132" w:rsidRPr="001D4321">
        <w:rPr>
          <w:sz w:val="24"/>
          <w:szCs w:val="24"/>
        </w:rPr>
        <w:t>must</w:t>
      </w:r>
      <w:r w:rsidR="00C40A23" w:rsidRPr="001D4321">
        <w:rPr>
          <w:sz w:val="24"/>
          <w:szCs w:val="24"/>
        </w:rPr>
        <w:t xml:space="preserve"> be submitted on or prior to the due date</w:t>
      </w:r>
      <w:r w:rsidR="00E30466" w:rsidRPr="001D4321">
        <w:rPr>
          <w:sz w:val="24"/>
          <w:szCs w:val="24"/>
        </w:rPr>
        <w:t xml:space="preserve"> set forth</w:t>
      </w:r>
      <w:r w:rsidR="00C40A23" w:rsidRPr="001D4321">
        <w:rPr>
          <w:sz w:val="24"/>
          <w:szCs w:val="24"/>
        </w:rPr>
        <w:t xml:space="preserve"> </w:t>
      </w:r>
      <w:r w:rsidR="00B14581" w:rsidRPr="001D4321">
        <w:rPr>
          <w:sz w:val="24"/>
          <w:szCs w:val="24"/>
        </w:rPr>
        <w:t>i</w:t>
      </w:r>
      <w:r w:rsidR="00C40A23" w:rsidRPr="001D4321">
        <w:rPr>
          <w:sz w:val="24"/>
          <w:szCs w:val="24"/>
        </w:rPr>
        <w:t>n the Board Meeting Deadline</w:t>
      </w:r>
      <w:r w:rsidR="00B14581" w:rsidRPr="001D4321">
        <w:rPr>
          <w:sz w:val="24"/>
          <w:szCs w:val="24"/>
        </w:rPr>
        <w:t>s (</w:t>
      </w:r>
      <w:r w:rsidR="005A1132" w:rsidRPr="001D4321">
        <w:rPr>
          <w:sz w:val="24"/>
          <w:szCs w:val="24"/>
        </w:rPr>
        <w:t>s</w:t>
      </w:r>
      <w:r w:rsidR="00B14581" w:rsidRPr="001D4321">
        <w:rPr>
          <w:sz w:val="24"/>
          <w:szCs w:val="24"/>
        </w:rPr>
        <w:t>ee “Deadline to Submit: Substantially Final Version of Bond Documents” column)</w:t>
      </w:r>
      <w:r w:rsidR="00C40A23" w:rsidRPr="001D4321">
        <w:rPr>
          <w:sz w:val="24"/>
          <w:szCs w:val="24"/>
        </w:rPr>
        <w:t xml:space="preserve">. </w:t>
      </w:r>
      <w:r w:rsidR="002044AE" w:rsidRPr="001D4321">
        <w:rPr>
          <w:sz w:val="24"/>
          <w:szCs w:val="24"/>
        </w:rPr>
        <w:t>IBank</w:t>
      </w:r>
      <w:r w:rsidR="007F4071" w:rsidRPr="001D4321">
        <w:rPr>
          <w:sz w:val="24"/>
          <w:szCs w:val="24"/>
        </w:rPr>
        <w:t xml:space="preserve"> staff shall </w:t>
      </w:r>
      <w:r w:rsidR="00BF5DFA" w:rsidRPr="001D4321">
        <w:rPr>
          <w:sz w:val="24"/>
          <w:szCs w:val="24"/>
        </w:rPr>
        <w:t>advise</w:t>
      </w:r>
      <w:r w:rsidR="00880CFA" w:rsidRPr="001D4321">
        <w:rPr>
          <w:sz w:val="24"/>
          <w:szCs w:val="24"/>
        </w:rPr>
        <w:t xml:space="preserve"> </w:t>
      </w:r>
      <w:r w:rsidR="007F4071" w:rsidRPr="001D4321">
        <w:rPr>
          <w:sz w:val="24"/>
          <w:szCs w:val="24"/>
        </w:rPr>
        <w:t xml:space="preserve">the </w:t>
      </w:r>
      <w:r w:rsidR="00EE41FF" w:rsidRPr="001D4321">
        <w:rPr>
          <w:sz w:val="24"/>
          <w:szCs w:val="24"/>
        </w:rPr>
        <w:t>Applicant</w:t>
      </w:r>
      <w:r w:rsidR="00BF5DFA" w:rsidRPr="001D4321">
        <w:rPr>
          <w:sz w:val="24"/>
          <w:szCs w:val="24"/>
        </w:rPr>
        <w:t xml:space="preserve"> whether an application is complete</w:t>
      </w:r>
      <w:r w:rsidR="007F4071" w:rsidRPr="001D4321">
        <w:rPr>
          <w:sz w:val="24"/>
          <w:szCs w:val="24"/>
        </w:rPr>
        <w:t xml:space="preserve"> within </w:t>
      </w:r>
      <w:r w:rsidR="003160C5" w:rsidRPr="001D4321">
        <w:rPr>
          <w:sz w:val="24"/>
          <w:szCs w:val="24"/>
        </w:rPr>
        <w:t xml:space="preserve">five </w:t>
      </w:r>
      <w:r w:rsidR="007F4071" w:rsidRPr="001D4321">
        <w:rPr>
          <w:sz w:val="24"/>
          <w:szCs w:val="24"/>
        </w:rPr>
        <w:t xml:space="preserve">business days of </w:t>
      </w:r>
      <w:r w:rsidR="00BF5DFA" w:rsidRPr="001D4321">
        <w:rPr>
          <w:sz w:val="24"/>
          <w:szCs w:val="24"/>
        </w:rPr>
        <w:t>receipt.</w:t>
      </w:r>
    </w:p>
    <w:p w14:paraId="11A6EBC7" w14:textId="77777777" w:rsidR="00B859F2" w:rsidRPr="001D4321" w:rsidRDefault="00B859F2" w:rsidP="00D11679">
      <w:pPr>
        <w:jc w:val="both"/>
        <w:rPr>
          <w:sz w:val="24"/>
          <w:szCs w:val="24"/>
        </w:rPr>
      </w:pPr>
    </w:p>
    <w:p w14:paraId="4BAFE239" w14:textId="77777777" w:rsidR="00C40A23" w:rsidRPr="001D4321" w:rsidRDefault="00C40A23" w:rsidP="00B859F2">
      <w:pPr>
        <w:ind w:left="900"/>
        <w:jc w:val="both"/>
        <w:rPr>
          <w:sz w:val="24"/>
          <w:szCs w:val="24"/>
        </w:rPr>
      </w:pPr>
      <w:r w:rsidRPr="001D4321">
        <w:rPr>
          <w:sz w:val="24"/>
          <w:szCs w:val="24"/>
        </w:rPr>
        <w:t xml:space="preserve">Applications will be reviewed in the order they were received by </w:t>
      </w:r>
      <w:r w:rsidR="002044AE" w:rsidRPr="001D4321">
        <w:rPr>
          <w:sz w:val="24"/>
          <w:szCs w:val="24"/>
        </w:rPr>
        <w:t>IBank</w:t>
      </w:r>
      <w:r w:rsidRPr="001D4321">
        <w:rPr>
          <w:sz w:val="24"/>
          <w:szCs w:val="24"/>
        </w:rPr>
        <w:t xml:space="preserve"> staff. </w:t>
      </w:r>
      <w:r w:rsidR="00104670" w:rsidRPr="001D4321">
        <w:rPr>
          <w:sz w:val="24"/>
          <w:szCs w:val="24"/>
        </w:rPr>
        <w:t xml:space="preserve">IBank staff will attempt to present the </w:t>
      </w:r>
      <w:r w:rsidR="005675D7" w:rsidRPr="001D4321">
        <w:rPr>
          <w:sz w:val="24"/>
          <w:szCs w:val="24"/>
        </w:rPr>
        <w:t>applica</w:t>
      </w:r>
      <w:r w:rsidR="00867473" w:rsidRPr="001D4321">
        <w:rPr>
          <w:sz w:val="24"/>
          <w:szCs w:val="24"/>
        </w:rPr>
        <w:t>nt’s request</w:t>
      </w:r>
      <w:r w:rsidR="00104670" w:rsidRPr="001D4321">
        <w:rPr>
          <w:sz w:val="24"/>
          <w:szCs w:val="24"/>
        </w:rPr>
        <w:t xml:space="preserve"> </w:t>
      </w:r>
      <w:r w:rsidR="005675D7" w:rsidRPr="001D4321">
        <w:rPr>
          <w:sz w:val="24"/>
          <w:szCs w:val="24"/>
        </w:rPr>
        <w:t>at</w:t>
      </w:r>
      <w:r w:rsidR="00351849" w:rsidRPr="001D4321">
        <w:rPr>
          <w:sz w:val="24"/>
          <w:szCs w:val="24"/>
        </w:rPr>
        <w:t xml:space="preserve"> the Board meeting </w:t>
      </w:r>
      <w:r w:rsidR="00867473" w:rsidRPr="001D4321">
        <w:rPr>
          <w:sz w:val="24"/>
          <w:szCs w:val="24"/>
        </w:rPr>
        <w:t>selec</w:t>
      </w:r>
      <w:r w:rsidR="00351849" w:rsidRPr="001D4321">
        <w:rPr>
          <w:sz w:val="24"/>
          <w:szCs w:val="24"/>
        </w:rPr>
        <w:t>ted</w:t>
      </w:r>
      <w:r w:rsidR="00104670" w:rsidRPr="001D4321">
        <w:rPr>
          <w:sz w:val="24"/>
          <w:szCs w:val="24"/>
        </w:rPr>
        <w:t xml:space="preserve"> </w:t>
      </w:r>
      <w:r w:rsidR="00351849" w:rsidRPr="001D4321">
        <w:rPr>
          <w:sz w:val="24"/>
          <w:szCs w:val="24"/>
        </w:rPr>
        <w:t>by</w:t>
      </w:r>
      <w:r w:rsidR="00104670" w:rsidRPr="001D4321">
        <w:rPr>
          <w:sz w:val="24"/>
          <w:szCs w:val="24"/>
        </w:rPr>
        <w:t xml:space="preserve"> the </w:t>
      </w:r>
      <w:r w:rsidR="00EE41FF" w:rsidRPr="001D4321">
        <w:rPr>
          <w:sz w:val="24"/>
          <w:szCs w:val="24"/>
        </w:rPr>
        <w:t>applicant</w:t>
      </w:r>
      <w:r w:rsidR="005112F3" w:rsidRPr="001D4321">
        <w:rPr>
          <w:sz w:val="24"/>
          <w:szCs w:val="24"/>
        </w:rPr>
        <w:t>;</w:t>
      </w:r>
      <w:r w:rsidR="00104670" w:rsidRPr="001D4321">
        <w:rPr>
          <w:sz w:val="24"/>
          <w:szCs w:val="24"/>
        </w:rPr>
        <w:t xml:space="preserve"> however</w:t>
      </w:r>
      <w:r w:rsidR="005112F3" w:rsidRPr="001D4321">
        <w:rPr>
          <w:sz w:val="24"/>
          <w:szCs w:val="24"/>
        </w:rPr>
        <w:t>,</w:t>
      </w:r>
      <w:r w:rsidR="00104670" w:rsidRPr="001D4321">
        <w:rPr>
          <w:sz w:val="24"/>
          <w:szCs w:val="24"/>
        </w:rPr>
        <w:t xml:space="preserve"> </w:t>
      </w:r>
      <w:r w:rsidR="00351849" w:rsidRPr="001D4321">
        <w:rPr>
          <w:sz w:val="24"/>
          <w:szCs w:val="24"/>
        </w:rPr>
        <w:t>timing</w:t>
      </w:r>
      <w:r w:rsidR="00104670" w:rsidRPr="001D4321">
        <w:rPr>
          <w:sz w:val="24"/>
          <w:szCs w:val="24"/>
        </w:rPr>
        <w:t xml:space="preserve"> and other considerations may not permit consideration </w:t>
      </w:r>
      <w:r w:rsidR="00351849" w:rsidRPr="001D4321">
        <w:rPr>
          <w:sz w:val="24"/>
          <w:szCs w:val="24"/>
        </w:rPr>
        <w:t>at</w:t>
      </w:r>
      <w:r w:rsidR="00104670" w:rsidRPr="001D4321">
        <w:rPr>
          <w:sz w:val="24"/>
          <w:szCs w:val="24"/>
        </w:rPr>
        <w:t xml:space="preserve"> the Board meeting requested </w:t>
      </w:r>
      <w:r w:rsidR="005675D7" w:rsidRPr="001D4321">
        <w:rPr>
          <w:sz w:val="24"/>
          <w:szCs w:val="24"/>
        </w:rPr>
        <w:t xml:space="preserve">and </w:t>
      </w:r>
      <w:r w:rsidR="00351849" w:rsidRPr="001D4321">
        <w:rPr>
          <w:sz w:val="24"/>
          <w:szCs w:val="24"/>
        </w:rPr>
        <w:t>IBank staff</w:t>
      </w:r>
      <w:r w:rsidR="00104670" w:rsidRPr="001D4321">
        <w:rPr>
          <w:sz w:val="24"/>
          <w:szCs w:val="24"/>
        </w:rPr>
        <w:t xml:space="preserve"> may elect to </w:t>
      </w:r>
      <w:r w:rsidR="00B14581" w:rsidRPr="001D4321">
        <w:rPr>
          <w:sz w:val="24"/>
          <w:szCs w:val="24"/>
        </w:rPr>
        <w:t>schedule</w:t>
      </w:r>
      <w:r w:rsidR="00104670" w:rsidRPr="001D4321">
        <w:rPr>
          <w:sz w:val="24"/>
          <w:szCs w:val="24"/>
        </w:rPr>
        <w:t xml:space="preserve"> the matter </w:t>
      </w:r>
      <w:r w:rsidR="00B14581" w:rsidRPr="001D4321">
        <w:rPr>
          <w:sz w:val="24"/>
          <w:szCs w:val="24"/>
        </w:rPr>
        <w:t>for</w:t>
      </w:r>
      <w:r w:rsidR="00104670" w:rsidRPr="001D4321">
        <w:rPr>
          <w:sz w:val="24"/>
          <w:szCs w:val="24"/>
        </w:rPr>
        <w:t xml:space="preserve"> an alternate Board meeting.</w:t>
      </w:r>
    </w:p>
    <w:p w14:paraId="35866FA3" w14:textId="77777777" w:rsidR="00C40A23" w:rsidRDefault="00C40A23">
      <w:pPr>
        <w:numPr>
          <w:ilvl w:val="12"/>
          <w:numId w:val="0"/>
        </w:numPr>
        <w:ind w:left="900"/>
        <w:rPr>
          <w:sz w:val="24"/>
        </w:rPr>
      </w:pPr>
    </w:p>
    <w:p w14:paraId="01758C45" w14:textId="190335CD" w:rsidR="007F4071" w:rsidRPr="001D4321" w:rsidRDefault="007F4071" w:rsidP="001D4321">
      <w:pPr>
        <w:ind w:left="900"/>
        <w:jc w:val="both"/>
        <w:rPr>
          <w:color w:val="000000"/>
          <w:sz w:val="24"/>
          <w:szCs w:val="24"/>
        </w:rPr>
      </w:pPr>
      <w:r w:rsidRPr="001D4321">
        <w:rPr>
          <w:sz w:val="24"/>
          <w:szCs w:val="24"/>
        </w:rPr>
        <w:t xml:space="preserve">If the application is not complete, </w:t>
      </w:r>
      <w:r w:rsidR="00867473" w:rsidRPr="001D4321">
        <w:rPr>
          <w:sz w:val="24"/>
          <w:szCs w:val="24"/>
        </w:rPr>
        <w:t>IBank’s staff’s</w:t>
      </w:r>
      <w:r w:rsidRPr="001D4321">
        <w:rPr>
          <w:sz w:val="24"/>
          <w:szCs w:val="24"/>
        </w:rPr>
        <w:t xml:space="preserve"> </w:t>
      </w:r>
      <w:r w:rsidR="00C40A23" w:rsidRPr="001D4321">
        <w:rPr>
          <w:sz w:val="24"/>
          <w:szCs w:val="24"/>
        </w:rPr>
        <w:t xml:space="preserve">communication </w:t>
      </w:r>
      <w:r w:rsidRPr="001D4321">
        <w:rPr>
          <w:sz w:val="24"/>
          <w:szCs w:val="24"/>
        </w:rPr>
        <w:t xml:space="preserve">shall specify the deficiencies and </w:t>
      </w:r>
      <w:r w:rsidR="00867473" w:rsidRPr="001D4321">
        <w:rPr>
          <w:sz w:val="24"/>
          <w:szCs w:val="24"/>
        </w:rPr>
        <w:t>allow</w:t>
      </w:r>
      <w:r w:rsidRPr="001D4321">
        <w:rPr>
          <w:sz w:val="24"/>
          <w:szCs w:val="24"/>
        </w:rPr>
        <w:t xml:space="preserve"> the </w:t>
      </w:r>
      <w:r w:rsidR="00867473" w:rsidRPr="001D4321">
        <w:rPr>
          <w:sz w:val="24"/>
          <w:szCs w:val="24"/>
        </w:rPr>
        <w:t>a</w:t>
      </w:r>
      <w:r w:rsidR="00EE41FF" w:rsidRPr="001D4321">
        <w:rPr>
          <w:sz w:val="24"/>
          <w:szCs w:val="24"/>
        </w:rPr>
        <w:t>pplicant</w:t>
      </w:r>
      <w:r w:rsidRPr="001D4321">
        <w:rPr>
          <w:sz w:val="24"/>
          <w:szCs w:val="24"/>
        </w:rPr>
        <w:t xml:space="preserve"> four</w:t>
      </w:r>
      <w:r w:rsidR="005112F3" w:rsidRPr="001D4321">
        <w:rPr>
          <w:sz w:val="24"/>
          <w:szCs w:val="24"/>
        </w:rPr>
        <w:t xml:space="preserve"> </w:t>
      </w:r>
      <w:r w:rsidRPr="001D4321">
        <w:rPr>
          <w:sz w:val="24"/>
          <w:szCs w:val="24"/>
        </w:rPr>
        <w:t xml:space="preserve">business days to correct the deficiencies. If the required information is received within four business days, </w:t>
      </w:r>
      <w:r w:rsidR="00C40A23" w:rsidRPr="001D4321">
        <w:rPr>
          <w:sz w:val="24"/>
          <w:szCs w:val="24"/>
        </w:rPr>
        <w:t xml:space="preserve">and the project meets </w:t>
      </w:r>
      <w:r w:rsidR="002D3B98" w:rsidRPr="001D4321">
        <w:rPr>
          <w:sz w:val="24"/>
          <w:szCs w:val="24"/>
        </w:rPr>
        <w:t>IBank’s public</w:t>
      </w:r>
      <w:r w:rsidR="00C40A23" w:rsidRPr="001D4321">
        <w:rPr>
          <w:sz w:val="24"/>
          <w:szCs w:val="24"/>
        </w:rPr>
        <w:t xml:space="preserve"> interest criteria</w:t>
      </w:r>
      <w:r w:rsidR="00867473" w:rsidRPr="001D4321">
        <w:rPr>
          <w:sz w:val="24"/>
          <w:szCs w:val="24"/>
        </w:rPr>
        <w:t xml:space="preserve"> set forth herein</w:t>
      </w:r>
      <w:r w:rsidR="00CC38C5">
        <w:rPr>
          <w:sz w:val="24"/>
          <w:szCs w:val="24"/>
        </w:rPr>
        <w:t>,</w:t>
      </w:r>
      <w:r w:rsidR="00C40A23" w:rsidRPr="001D4321">
        <w:rPr>
          <w:sz w:val="24"/>
          <w:szCs w:val="24"/>
        </w:rPr>
        <w:t xml:space="preserve"> </w:t>
      </w:r>
      <w:r w:rsidR="002044AE" w:rsidRPr="001D4321">
        <w:rPr>
          <w:sz w:val="24"/>
          <w:szCs w:val="24"/>
        </w:rPr>
        <w:t>IBank</w:t>
      </w:r>
      <w:r w:rsidRPr="001D4321">
        <w:rPr>
          <w:sz w:val="24"/>
          <w:szCs w:val="24"/>
        </w:rPr>
        <w:t xml:space="preserve"> staff shall</w:t>
      </w:r>
      <w:r w:rsidR="005112F3" w:rsidRPr="001D4321">
        <w:rPr>
          <w:sz w:val="24"/>
          <w:szCs w:val="24"/>
        </w:rPr>
        <w:t>,</w:t>
      </w:r>
      <w:r w:rsidR="003E5136" w:rsidRPr="001D4321">
        <w:rPr>
          <w:sz w:val="24"/>
          <w:szCs w:val="24"/>
        </w:rPr>
        <w:t xml:space="preserve"> subject to the</w:t>
      </w:r>
      <w:r w:rsidR="00275F01" w:rsidRPr="001D4321">
        <w:rPr>
          <w:sz w:val="24"/>
          <w:szCs w:val="24"/>
        </w:rPr>
        <w:t xml:space="preserve"> </w:t>
      </w:r>
      <w:r w:rsidR="003E5136" w:rsidRPr="001D4321">
        <w:rPr>
          <w:sz w:val="24"/>
          <w:szCs w:val="24"/>
        </w:rPr>
        <w:t>immediately preceding paragraph</w:t>
      </w:r>
      <w:r w:rsidR="005112F3" w:rsidRPr="001D4321">
        <w:rPr>
          <w:sz w:val="24"/>
          <w:szCs w:val="24"/>
        </w:rPr>
        <w:t>,</w:t>
      </w:r>
      <w:r w:rsidR="003E5136" w:rsidRPr="001D4321">
        <w:rPr>
          <w:sz w:val="24"/>
          <w:szCs w:val="24"/>
        </w:rPr>
        <w:t xml:space="preserve"> </w:t>
      </w:r>
      <w:r w:rsidRPr="001D4321">
        <w:rPr>
          <w:sz w:val="24"/>
          <w:szCs w:val="24"/>
        </w:rPr>
        <w:t xml:space="preserve">promptly notify the </w:t>
      </w:r>
      <w:r w:rsidR="00B14581" w:rsidRPr="001D4321">
        <w:rPr>
          <w:sz w:val="24"/>
          <w:szCs w:val="24"/>
        </w:rPr>
        <w:t>a</w:t>
      </w:r>
      <w:r w:rsidR="00EE41FF" w:rsidRPr="001D4321">
        <w:rPr>
          <w:sz w:val="24"/>
          <w:szCs w:val="24"/>
        </w:rPr>
        <w:t>pplicant</w:t>
      </w:r>
      <w:r w:rsidRPr="001D4321">
        <w:rPr>
          <w:sz w:val="24"/>
          <w:szCs w:val="24"/>
        </w:rPr>
        <w:t xml:space="preserve"> that the </w:t>
      </w:r>
      <w:r w:rsidR="00867473" w:rsidRPr="001D4321">
        <w:rPr>
          <w:sz w:val="24"/>
          <w:szCs w:val="24"/>
        </w:rPr>
        <w:t>matter</w:t>
      </w:r>
      <w:r w:rsidRPr="001D4321">
        <w:rPr>
          <w:sz w:val="24"/>
          <w:szCs w:val="24"/>
        </w:rPr>
        <w:t xml:space="preserve"> will be placed on the agenda for the </w:t>
      </w:r>
      <w:r w:rsidR="00D4636A" w:rsidRPr="001D4321">
        <w:rPr>
          <w:sz w:val="24"/>
          <w:szCs w:val="24"/>
        </w:rPr>
        <w:t xml:space="preserve">requested </w:t>
      </w:r>
      <w:r w:rsidR="002044AE" w:rsidRPr="001D4321">
        <w:rPr>
          <w:sz w:val="24"/>
          <w:szCs w:val="24"/>
        </w:rPr>
        <w:t>IBank</w:t>
      </w:r>
      <w:r w:rsidRPr="001D4321">
        <w:rPr>
          <w:sz w:val="24"/>
          <w:szCs w:val="24"/>
        </w:rPr>
        <w:t xml:space="preserve"> </w:t>
      </w:r>
      <w:r w:rsidR="00D4636A" w:rsidRPr="001D4321">
        <w:rPr>
          <w:sz w:val="24"/>
          <w:szCs w:val="24"/>
        </w:rPr>
        <w:t xml:space="preserve">Board </w:t>
      </w:r>
      <w:r w:rsidRPr="001D4321">
        <w:rPr>
          <w:sz w:val="24"/>
          <w:szCs w:val="24"/>
        </w:rPr>
        <w:t>meeting</w:t>
      </w:r>
      <w:r w:rsidR="001A3358" w:rsidRPr="001D4321">
        <w:rPr>
          <w:sz w:val="24"/>
          <w:szCs w:val="24"/>
        </w:rPr>
        <w:t>.</w:t>
      </w:r>
      <w:r w:rsidR="008670A5" w:rsidRPr="001D4321">
        <w:rPr>
          <w:sz w:val="24"/>
          <w:szCs w:val="24"/>
        </w:rPr>
        <w:t xml:space="preserve"> </w:t>
      </w:r>
      <w:r w:rsidRPr="001D4321">
        <w:rPr>
          <w:sz w:val="24"/>
          <w:szCs w:val="24"/>
        </w:rPr>
        <w:t xml:space="preserve">If the required information is not received within four business days, </w:t>
      </w:r>
      <w:r w:rsidR="002044AE" w:rsidRPr="001D4321">
        <w:rPr>
          <w:sz w:val="24"/>
          <w:szCs w:val="24"/>
        </w:rPr>
        <w:t>IBank</w:t>
      </w:r>
      <w:r w:rsidRPr="001D4321">
        <w:rPr>
          <w:sz w:val="24"/>
          <w:szCs w:val="24"/>
        </w:rPr>
        <w:t xml:space="preserve"> staff shall </w:t>
      </w:r>
      <w:r w:rsidR="00A62CA9" w:rsidRPr="001D4321">
        <w:rPr>
          <w:sz w:val="24"/>
          <w:szCs w:val="24"/>
        </w:rPr>
        <w:t>send a communication via e-mail</w:t>
      </w:r>
      <w:r w:rsidRPr="001D4321">
        <w:rPr>
          <w:sz w:val="24"/>
          <w:szCs w:val="24"/>
        </w:rPr>
        <w:t xml:space="preserve"> to the </w:t>
      </w:r>
      <w:r w:rsidR="00B14581" w:rsidRPr="001D4321">
        <w:rPr>
          <w:sz w:val="24"/>
          <w:szCs w:val="24"/>
        </w:rPr>
        <w:t>a</w:t>
      </w:r>
      <w:r w:rsidR="00EE41FF" w:rsidRPr="001D4321">
        <w:rPr>
          <w:sz w:val="24"/>
          <w:szCs w:val="24"/>
        </w:rPr>
        <w:t>pplicant</w:t>
      </w:r>
      <w:r w:rsidRPr="001D4321">
        <w:rPr>
          <w:sz w:val="24"/>
          <w:szCs w:val="24"/>
        </w:rPr>
        <w:t xml:space="preserve"> stating that the application is still incomplete and </w:t>
      </w:r>
      <w:r w:rsidR="00B14581" w:rsidRPr="001D4321">
        <w:rPr>
          <w:sz w:val="24"/>
          <w:szCs w:val="24"/>
        </w:rPr>
        <w:t>may</w:t>
      </w:r>
      <w:r w:rsidRPr="001D4321">
        <w:rPr>
          <w:sz w:val="24"/>
          <w:szCs w:val="24"/>
        </w:rPr>
        <w:t xml:space="preserve"> not be placed on the agenda for the </w:t>
      </w:r>
      <w:r w:rsidR="00CD604E" w:rsidRPr="001D4321">
        <w:rPr>
          <w:sz w:val="24"/>
          <w:szCs w:val="24"/>
        </w:rPr>
        <w:t>selected</w:t>
      </w:r>
      <w:r w:rsidRPr="001D4321">
        <w:rPr>
          <w:sz w:val="24"/>
          <w:szCs w:val="24"/>
        </w:rPr>
        <w:t xml:space="preserve"> </w:t>
      </w:r>
      <w:r w:rsidR="00CD604E" w:rsidRPr="001D4321">
        <w:rPr>
          <w:sz w:val="24"/>
          <w:szCs w:val="24"/>
        </w:rPr>
        <w:t>Board</w:t>
      </w:r>
      <w:r w:rsidRPr="001D4321">
        <w:rPr>
          <w:sz w:val="24"/>
          <w:szCs w:val="24"/>
        </w:rPr>
        <w:t xml:space="preserve"> meeting.</w:t>
      </w:r>
      <w:r w:rsidR="005112F3" w:rsidRPr="001D4321">
        <w:rPr>
          <w:sz w:val="24"/>
          <w:szCs w:val="24"/>
        </w:rPr>
        <w:t xml:space="preserve"> The </w:t>
      </w:r>
      <w:r w:rsidR="00EE41FF" w:rsidRPr="001D4321">
        <w:rPr>
          <w:sz w:val="24"/>
          <w:szCs w:val="24"/>
        </w:rPr>
        <w:t>applicant</w:t>
      </w:r>
      <w:r w:rsidRPr="001D4321">
        <w:rPr>
          <w:sz w:val="24"/>
          <w:szCs w:val="24"/>
        </w:rPr>
        <w:t xml:space="preserve"> may submit </w:t>
      </w:r>
      <w:r w:rsidR="00D35B47" w:rsidRPr="001D4321">
        <w:rPr>
          <w:sz w:val="24"/>
          <w:szCs w:val="24"/>
        </w:rPr>
        <w:t xml:space="preserve">correction of the prior </w:t>
      </w:r>
      <w:r w:rsidRPr="001D4321">
        <w:rPr>
          <w:sz w:val="24"/>
          <w:szCs w:val="24"/>
        </w:rPr>
        <w:t xml:space="preserve">application for consideration at a subsequent </w:t>
      </w:r>
      <w:r w:rsidR="00CD604E" w:rsidRPr="001D4321">
        <w:rPr>
          <w:sz w:val="24"/>
          <w:szCs w:val="24"/>
        </w:rPr>
        <w:t>Board</w:t>
      </w:r>
      <w:r w:rsidRPr="001D4321">
        <w:rPr>
          <w:sz w:val="24"/>
          <w:szCs w:val="24"/>
        </w:rPr>
        <w:t xml:space="preserve"> meeting.</w:t>
      </w:r>
      <w:r w:rsidR="00A62CA9" w:rsidRPr="001D4321">
        <w:rPr>
          <w:sz w:val="24"/>
          <w:szCs w:val="24"/>
        </w:rPr>
        <w:t xml:space="preserve"> </w:t>
      </w:r>
    </w:p>
    <w:p w14:paraId="1592F48F" w14:textId="77777777" w:rsidR="00A62CA9" w:rsidRPr="001D4321" w:rsidRDefault="00A62CA9" w:rsidP="001D4321">
      <w:pPr>
        <w:ind w:left="900"/>
        <w:rPr>
          <w:sz w:val="24"/>
          <w:szCs w:val="24"/>
        </w:rPr>
      </w:pPr>
    </w:p>
    <w:p w14:paraId="41BCBBFC" w14:textId="206754CC" w:rsidR="00A62CA9" w:rsidRPr="001D4321" w:rsidRDefault="00D35B47" w:rsidP="00A62CA9">
      <w:pPr>
        <w:ind w:left="900"/>
        <w:jc w:val="both"/>
        <w:rPr>
          <w:sz w:val="24"/>
          <w:szCs w:val="24"/>
        </w:rPr>
      </w:pPr>
      <w:r w:rsidRPr="001D4321">
        <w:rPr>
          <w:sz w:val="24"/>
          <w:szCs w:val="24"/>
        </w:rPr>
        <w:t xml:space="preserve">Prior to </w:t>
      </w:r>
      <w:r w:rsidR="00A62CA9" w:rsidRPr="001D4321">
        <w:rPr>
          <w:sz w:val="24"/>
          <w:szCs w:val="24"/>
        </w:rPr>
        <w:t xml:space="preserve">submitting a </w:t>
      </w:r>
      <w:r w:rsidR="00B14581" w:rsidRPr="001D4321">
        <w:rPr>
          <w:sz w:val="24"/>
          <w:szCs w:val="24"/>
        </w:rPr>
        <w:t>matter</w:t>
      </w:r>
      <w:r w:rsidR="00A62CA9" w:rsidRPr="001D4321">
        <w:rPr>
          <w:sz w:val="24"/>
          <w:szCs w:val="24"/>
        </w:rPr>
        <w:t xml:space="preserve"> to the Board, the governing body of the </w:t>
      </w:r>
      <w:r w:rsidR="00B14581" w:rsidRPr="001D4321">
        <w:rPr>
          <w:sz w:val="24"/>
          <w:szCs w:val="24"/>
        </w:rPr>
        <w:t>a</w:t>
      </w:r>
      <w:r w:rsidR="00EE41FF" w:rsidRPr="001D4321">
        <w:rPr>
          <w:sz w:val="24"/>
          <w:szCs w:val="24"/>
        </w:rPr>
        <w:t>pplicant</w:t>
      </w:r>
      <w:r w:rsidR="00A62CA9" w:rsidRPr="001D4321">
        <w:rPr>
          <w:sz w:val="24"/>
          <w:szCs w:val="24"/>
        </w:rPr>
        <w:t xml:space="preserve"> shall have adopted a resolution authorizing the proposed financing. A copy of such executed resolution shall be submitted to </w:t>
      </w:r>
      <w:r w:rsidR="002044AE" w:rsidRPr="001D4321">
        <w:rPr>
          <w:sz w:val="24"/>
          <w:szCs w:val="24"/>
        </w:rPr>
        <w:t>IBank</w:t>
      </w:r>
      <w:r w:rsidR="00A62CA9" w:rsidRPr="001D4321">
        <w:rPr>
          <w:sz w:val="24"/>
          <w:szCs w:val="24"/>
        </w:rPr>
        <w:t xml:space="preserve"> prior to the Board Meeting </w:t>
      </w:r>
      <w:r w:rsidR="005112F3" w:rsidRPr="001D4321">
        <w:rPr>
          <w:sz w:val="24"/>
          <w:szCs w:val="24"/>
        </w:rPr>
        <w:t>i</w:t>
      </w:r>
      <w:r w:rsidR="00A62CA9" w:rsidRPr="001D4321">
        <w:rPr>
          <w:sz w:val="24"/>
          <w:szCs w:val="24"/>
        </w:rPr>
        <w:t xml:space="preserve">n which the </w:t>
      </w:r>
      <w:r w:rsidR="00B14581" w:rsidRPr="001D4321">
        <w:rPr>
          <w:sz w:val="24"/>
          <w:szCs w:val="24"/>
        </w:rPr>
        <w:t>matter</w:t>
      </w:r>
      <w:r w:rsidR="00A62CA9" w:rsidRPr="001D4321">
        <w:rPr>
          <w:sz w:val="24"/>
          <w:szCs w:val="24"/>
        </w:rPr>
        <w:t xml:space="preserve"> will be </w:t>
      </w:r>
      <w:r w:rsidR="00B14581" w:rsidRPr="001D4321">
        <w:rPr>
          <w:sz w:val="24"/>
          <w:szCs w:val="24"/>
        </w:rPr>
        <w:t>considered</w:t>
      </w:r>
      <w:r w:rsidR="00A62CA9" w:rsidRPr="001D4321">
        <w:rPr>
          <w:sz w:val="24"/>
          <w:szCs w:val="24"/>
        </w:rPr>
        <w:t xml:space="preserve">. </w:t>
      </w:r>
    </w:p>
    <w:p w14:paraId="00849412" w14:textId="77777777" w:rsidR="007F4071" w:rsidRPr="001D4321" w:rsidRDefault="007F4071" w:rsidP="00A64E66">
      <w:pPr>
        <w:numPr>
          <w:ilvl w:val="12"/>
          <w:numId w:val="0"/>
        </w:numPr>
        <w:rPr>
          <w:sz w:val="24"/>
          <w:szCs w:val="24"/>
        </w:rPr>
      </w:pPr>
    </w:p>
    <w:p w14:paraId="79312657" w14:textId="71DBDC81" w:rsidR="007F4071" w:rsidRPr="001D4321" w:rsidRDefault="007F4071" w:rsidP="001D4321">
      <w:pPr>
        <w:numPr>
          <w:ilvl w:val="0"/>
          <w:numId w:val="13"/>
        </w:numPr>
        <w:jc w:val="both"/>
        <w:rPr>
          <w:color w:val="000000"/>
          <w:sz w:val="24"/>
          <w:szCs w:val="24"/>
        </w:rPr>
      </w:pPr>
      <w:r w:rsidRPr="001D4321">
        <w:rPr>
          <w:sz w:val="24"/>
          <w:szCs w:val="24"/>
        </w:rPr>
        <w:t xml:space="preserve">Inclusion of a </w:t>
      </w:r>
      <w:r w:rsidR="00B14581" w:rsidRPr="001D4321">
        <w:rPr>
          <w:sz w:val="24"/>
          <w:szCs w:val="24"/>
        </w:rPr>
        <w:t>matter</w:t>
      </w:r>
      <w:r w:rsidR="00CE5731" w:rsidRPr="001D4321">
        <w:rPr>
          <w:sz w:val="24"/>
          <w:szCs w:val="24"/>
        </w:rPr>
        <w:t xml:space="preserve"> </w:t>
      </w:r>
      <w:r w:rsidRPr="001D4321">
        <w:rPr>
          <w:sz w:val="24"/>
          <w:szCs w:val="24"/>
        </w:rPr>
        <w:t xml:space="preserve">on the </w:t>
      </w:r>
      <w:r w:rsidR="00A62CA9" w:rsidRPr="001D4321">
        <w:rPr>
          <w:sz w:val="24"/>
          <w:szCs w:val="24"/>
        </w:rPr>
        <w:t>Board meeting</w:t>
      </w:r>
      <w:r w:rsidR="00B14581" w:rsidRPr="001D4321">
        <w:rPr>
          <w:sz w:val="24"/>
          <w:szCs w:val="24"/>
        </w:rPr>
        <w:t xml:space="preserve"> agenda</w:t>
      </w:r>
      <w:r w:rsidR="00A62CA9" w:rsidRPr="001D4321">
        <w:rPr>
          <w:sz w:val="24"/>
          <w:szCs w:val="24"/>
        </w:rPr>
        <w:t xml:space="preserve"> </w:t>
      </w:r>
      <w:r w:rsidRPr="001D4321">
        <w:rPr>
          <w:sz w:val="24"/>
          <w:szCs w:val="24"/>
        </w:rPr>
        <w:t xml:space="preserve">means that it </w:t>
      </w:r>
      <w:r w:rsidR="00A62CA9" w:rsidRPr="001D4321">
        <w:rPr>
          <w:sz w:val="24"/>
          <w:szCs w:val="24"/>
        </w:rPr>
        <w:t>is intended to</w:t>
      </w:r>
      <w:r w:rsidRPr="001D4321">
        <w:rPr>
          <w:sz w:val="24"/>
          <w:szCs w:val="24"/>
        </w:rPr>
        <w:t xml:space="preserve"> be considered by the</w:t>
      </w:r>
      <w:r w:rsidR="00A62CA9" w:rsidRPr="001D4321">
        <w:rPr>
          <w:sz w:val="24"/>
          <w:szCs w:val="24"/>
        </w:rPr>
        <w:t xml:space="preserve"> Board</w:t>
      </w:r>
      <w:r w:rsidR="005A1132" w:rsidRPr="001D4321">
        <w:rPr>
          <w:sz w:val="24"/>
          <w:szCs w:val="24"/>
        </w:rPr>
        <w:t xml:space="preserve"> at the agendized meeting</w:t>
      </w:r>
      <w:r w:rsidRPr="001D4321">
        <w:rPr>
          <w:sz w:val="24"/>
          <w:szCs w:val="24"/>
        </w:rPr>
        <w:t xml:space="preserve">; it does not necessarily mean that the </w:t>
      </w:r>
      <w:r w:rsidR="00A62CA9" w:rsidRPr="001D4321">
        <w:rPr>
          <w:sz w:val="24"/>
          <w:szCs w:val="24"/>
        </w:rPr>
        <w:lastRenderedPageBreak/>
        <w:t xml:space="preserve">Board </w:t>
      </w:r>
      <w:r w:rsidRPr="001D4321">
        <w:rPr>
          <w:sz w:val="24"/>
          <w:szCs w:val="24"/>
        </w:rPr>
        <w:t xml:space="preserve">will </w:t>
      </w:r>
      <w:r w:rsidR="00867473" w:rsidRPr="001D4321">
        <w:rPr>
          <w:sz w:val="24"/>
          <w:szCs w:val="24"/>
        </w:rPr>
        <w:t>approve the matter</w:t>
      </w:r>
      <w:r w:rsidR="00A62CA9" w:rsidRPr="001D4321">
        <w:rPr>
          <w:sz w:val="24"/>
          <w:szCs w:val="24"/>
        </w:rPr>
        <w:t xml:space="preserve"> or that the Board meeting will occur </w:t>
      </w:r>
      <w:r w:rsidR="00C73126" w:rsidRPr="001D4321">
        <w:rPr>
          <w:sz w:val="24"/>
          <w:szCs w:val="24"/>
        </w:rPr>
        <w:t xml:space="preserve">as scheduled in </w:t>
      </w:r>
      <w:r w:rsidR="00867473" w:rsidRPr="001D4321">
        <w:rPr>
          <w:sz w:val="24"/>
          <w:szCs w:val="24"/>
        </w:rPr>
        <w:t xml:space="preserve">the </w:t>
      </w:r>
      <w:r w:rsidR="005112F3" w:rsidRPr="001D4321">
        <w:rPr>
          <w:sz w:val="24"/>
          <w:szCs w:val="24"/>
        </w:rPr>
        <w:t>a</w:t>
      </w:r>
      <w:r w:rsidR="00C73126" w:rsidRPr="001D4321">
        <w:rPr>
          <w:sz w:val="24"/>
          <w:szCs w:val="24"/>
        </w:rPr>
        <w:t>genda</w:t>
      </w:r>
      <w:r w:rsidRPr="001D4321">
        <w:rPr>
          <w:sz w:val="24"/>
          <w:szCs w:val="24"/>
        </w:rPr>
        <w:t xml:space="preserve">.  </w:t>
      </w:r>
    </w:p>
    <w:p w14:paraId="6D98D376" w14:textId="77777777" w:rsidR="00B51679" w:rsidRPr="001D4321" w:rsidRDefault="00B51679" w:rsidP="00030FE7">
      <w:pPr>
        <w:ind w:left="900"/>
        <w:jc w:val="both"/>
        <w:rPr>
          <w:sz w:val="24"/>
          <w:szCs w:val="24"/>
        </w:rPr>
      </w:pPr>
    </w:p>
    <w:p w14:paraId="1AF544FD" w14:textId="77777777" w:rsidR="00881EEA" w:rsidRPr="001D4321" w:rsidRDefault="00030FE7" w:rsidP="002670F7">
      <w:pPr>
        <w:numPr>
          <w:ilvl w:val="0"/>
          <w:numId w:val="13"/>
        </w:numPr>
        <w:jc w:val="both"/>
        <w:rPr>
          <w:sz w:val="24"/>
          <w:szCs w:val="24"/>
        </w:rPr>
      </w:pPr>
      <w:r w:rsidRPr="001D4321">
        <w:rPr>
          <w:sz w:val="24"/>
          <w:szCs w:val="24"/>
        </w:rPr>
        <w:t xml:space="preserve">If an IBank Board approved </w:t>
      </w:r>
      <w:r w:rsidR="005112F3" w:rsidRPr="001D4321">
        <w:rPr>
          <w:sz w:val="24"/>
          <w:szCs w:val="24"/>
        </w:rPr>
        <w:t>B</w:t>
      </w:r>
      <w:r w:rsidRPr="001D4321">
        <w:rPr>
          <w:sz w:val="24"/>
          <w:szCs w:val="24"/>
        </w:rPr>
        <w:t xml:space="preserve">onds transaction </w:t>
      </w:r>
      <w:r w:rsidR="00867473" w:rsidRPr="001D4321">
        <w:rPr>
          <w:sz w:val="24"/>
          <w:szCs w:val="24"/>
        </w:rPr>
        <w:t>is not completed prior to the date indicated in the operative Board resolution</w:t>
      </w:r>
      <w:r w:rsidRPr="001D4321">
        <w:rPr>
          <w:sz w:val="24"/>
          <w:szCs w:val="24"/>
        </w:rPr>
        <w:t xml:space="preserve">, the </w:t>
      </w:r>
      <w:r w:rsidR="00881EEA" w:rsidRPr="001D4321">
        <w:rPr>
          <w:sz w:val="24"/>
          <w:szCs w:val="24"/>
        </w:rPr>
        <w:t>a</w:t>
      </w:r>
      <w:r w:rsidR="00EE41FF" w:rsidRPr="001D4321">
        <w:rPr>
          <w:sz w:val="24"/>
          <w:szCs w:val="24"/>
        </w:rPr>
        <w:t>pplicant</w:t>
      </w:r>
      <w:r w:rsidRPr="001D4321">
        <w:rPr>
          <w:sz w:val="24"/>
          <w:szCs w:val="24"/>
        </w:rPr>
        <w:t xml:space="preserve"> </w:t>
      </w:r>
      <w:r w:rsidR="00867473" w:rsidRPr="001D4321">
        <w:rPr>
          <w:sz w:val="24"/>
          <w:szCs w:val="24"/>
        </w:rPr>
        <w:t>may</w:t>
      </w:r>
      <w:r w:rsidRPr="001D4321">
        <w:rPr>
          <w:sz w:val="24"/>
          <w:szCs w:val="24"/>
        </w:rPr>
        <w:t xml:space="preserve"> submit an application to request</w:t>
      </w:r>
      <w:r w:rsidR="005112F3" w:rsidRPr="001D4321">
        <w:rPr>
          <w:sz w:val="24"/>
          <w:szCs w:val="24"/>
        </w:rPr>
        <w:t xml:space="preserve"> an </w:t>
      </w:r>
      <w:r w:rsidRPr="001D4321">
        <w:rPr>
          <w:sz w:val="24"/>
          <w:szCs w:val="24"/>
        </w:rPr>
        <w:t>extension (“Extension Request”)</w:t>
      </w:r>
      <w:r w:rsidR="00B51679" w:rsidRPr="001D4321">
        <w:rPr>
          <w:sz w:val="24"/>
          <w:szCs w:val="24"/>
        </w:rPr>
        <w:t>.</w:t>
      </w:r>
      <w:r w:rsidR="005112F3" w:rsidRPr="001D4321">
        <w:rPr>
          <w:sz w:val="24"/>
          <w:szCs w:val="24"/>
        </w:rPr>
        <w:t xml:space="preserve"> </w:t>
      </w:r>
      <w:r w:rsidR="00B51679" w:rsidRPr="001D4321">
        <w:rPr>
          <w:sz w:val="24"/>
          <w:szCs w:val="24"/>
        </w:rPr>
        <w:t xml:space="preserve">The Extension Request </w:t>
      </w:r>
      <w:r w:rsidR="005F2E15" w:rsidRPr="001D4321">
        <w:rPr>
          <w:sz w:val="24"/>
          <w:szCs w:val="24"/>
        </w:rPr>
        <w:t>must</w:t>
      </w:r>
      <w:r w:rsidRPr="001D4321">
        <w:rPr>
          <w:sz w:val="24"/>
          <w:szCs w:val="24"/>
        </w:rPr>
        <w:t xml:space="preserve"> be </w:t>
      </w:r>
      <w:r w:rsidR="00B51679" w:rsidRPr="001D4321">
        <w:rPr>
          <w:sz w:val="24"/>
          <w:szCs w:val="24"/>
        </w:rPr>
        <w:t>submitt</w:t>
      </w:r>
      <w:r w:rsidRPr="001D4321">
        <w:rPr>
          <w:sz w:val="24"/>
          <w:szCs w:val="24"/>
        </w:rPr>
        <w:t>ed</w:t>
      </w:r>
      <w:r w:rsidR="00B51679" w:rsidRPr="001D4321">
        <w:rPr>
          <w:sz w:val="24"/>
          <w:szCs w:val="24"/>
        </w:rPr>
        <w:t xml:space="preserve"> to</w:t>
      </w:r>
      <w:r w:rsidRPr="001D4321">
        <w:rPr>
          <w:sz w:val="24"/>
          <w:szCs w:val="24"/>
        </w:rPr>
        <w:t xml:space="preserve"> </w:t>
      </w:r>
      <w:hyperlink r:id="rId17" w:history="1">
        <w:r w:rsidR="00B51679" w:rsidRPr="001D4321">
          <w:rPr>
            <w:rStyle w:val="Hyperlink"/>
            <w:sz w:val="24"/>
            <w:szCs w:val="24"/>
          </w:rPr>
          <w:t>BondUnit@IBank.CA.GOV</w:t>
        </w:r>
      </w:hyperlink>
      <w:r w:rsidR="00B51679" w:rsidRPr="001D4321">
        <w:rPr>
          <w:sz w:val="24"/>
          <w:szCs w:val="24"/>
        </w:rPr>
        <w:t xml:space="preserve"> </w:t>
      </w:r>
      <w:r w:rsidR="005F2E15" w:rsidRPr="001D4321">
        <w:rPr>
          <w:sz w:val="24"/>
          <w:szCs w:val="24"/>
        </w:rPr>
        <w:t xml:space="preserve">by the application deadline set forth in the Board Meeting Deadlines applicable to the Board Meeting immediately prior to </w:t>
      </w:r>
      <w:r w:rsidRPr="001D4321">
        <w:rPr>
          <w:sz w:val="24"/>
          <w:szCs w:val="24"/>
        </w:rPr>
        <w:t xml:space="preserve">the </w:t>
      </w:r>
      <w:r w:rsidR="005F2E15" w:rsidRPr="001D4321">
        <w:rPr>
          <w:sz w:val="24"/>
          <w:szCs w:val="24"/>
        </w:rPr>
        <w:t>r</w:t>
      </w:r>
      <w:r w:rsidRPr="001D4321">
        <w:rPr>
          <w:sz w:val="24"/>
          <w:szCs w:val="24"/>
        </w:rPr>
        <w:t xml:space="preserve">esolution expiration date. Submission of an Extension Request </w:t>
      </w:r>
      <w:r w:rsidR="00391E82" w:rsidRPr="001D4321">
        <w:rPr>
          <w:sz w:val="24"/>
          <w:szCs w:val="24"/>
        </w:rPr>
        <w:t xml:space="preserve">constitutes a renewed application and </w:t>
      </w:r>
      <w:r w:rsidRPr="001D4321">
        <w:rPr>
          <w:sz w:val="24"/>
          <w:szCs w:val="24"/>
        </w:rPr>
        <w:t xml:space="preserve">will require payment of </w:t>
      </w:r>
      <w:r w:rsidR="00391E82" w:rsidRPr="001D4321">
        <w:rPr>
          <w:sz w:val="24"/>
          <w:szCs w:val="24"/>
        </w:rPr>
        <w:t xml:space="preserve">an </w:t>
      </w:r>
      <w:r w:rsidRPr="001D4321">
        <w:rPr>
          <w:sz w:val="24"/>
          <w:szCs w:val="24"/>
        </w:rPr>
        <w:t xml:space="preserve">application fee. </w:t>
      </w:r>
      <w:r w:rsidR="00881EEA" w:rsidRPr="001D4321">
        <w:rPr>
          <w:sz w:val="24"/>
          <w:szCs w:val="24"/>
        </w:rPr>
        <w:t xml:space="preserve">The Extension Request shall be on the </w:t>
      </w:r>
      <w:r w:rsidR="00154E81" w:rsidRPr="001D4321">
        <w:rPr>
          <w:sz w:val="24"/>
          <w:szCs w:val="24"/>
        </w:rPr>
        <w:t xml:space="preserve">application </w:t>
      </w:r>
      <w:r w:rsidR="00881EEA" w:rsidRPr="001D4321">
        <w:rPr>
          <w:sz w:val="24"/>
          <w:szCs w:val="24"/>
        </w:rPr>
        <w:t>prepared by IBank’s staff</w:t>
      </w:r>
      <w:r w:rsidR="00A96A9F" w:rsidRPr="001D4321">
        <w:rPr>
          <w:sz w:val="24"/>
          <w:szCs w:val="24"/>
        </w:rPr>
        <w:t>.</w:t>
      </w:r>
      <w:r w:rsidR="00881EEA" w:rsidRPr="001D4321">
        <w:rPr>
          <w:sz w:val="24"/>
          <w:szCs w:val="24"/>
        </w:rPr>
        <w:t xml:space="preserve"> </w:t>
      </w:r>
      <w:r w:rsidR="00A96A9F" w:rsidRPr="001D4321">
        <w:rPr>
          <w:sz w:val="24"/>
          <w:szCs w:val="24"/>
        </w:rPr>
        <w:t xml:space="preserve">To obtain the Extension Request application, the applicant must contact </w:t>
      </w:r>
      <w:hyperlink r:id="rId18" w:history="1">
        <w:r w:rsidR="00A96A9F" w:rsidRPr="001D4321">
          <w:rPr>
            <w:rStyle w:val="Hyperlink"/>
            <w:sz w:val="24"/>
            <w:szCs w:val="24"/>
          </w:rPr>
          <w:t>BondUnit@IBank.CA.GOV</w:t>
        </w:r>
      </w:hyperlink>
      <w:r w:rsidR="00A96A9F" w:rsidRPr="001D4321">
        <w:rPr>
          <w:sz w:val="24"/>
          <w:szCs w:val="24"/>
        </w:rPr>
        <w:t>.</w:t>
      </w:r>
      <w:r w:rsidR="005A1132" w:rsidRPr="001D4321">
        <w:rPr>
          <w:sz w:val="24"/>
          <w:szCs w:val="24"/>
        </w:rPr>
        <w:t xml:space="preserve"> </w:t>
      </w:r>
      <w:r w:rsidR="00881EEA" w:rsidRPr="001D4321">
        <w:rPr>
          <w:sz w:val="24"/>
          <w:szCs w:val="24"/>
        </w:rPr>
        <w:t xml:space="preserve">IBank staff may from time to time modify the Extension Request </w:t>
      </w:r>
      <w:r w:rsidR="00154E81" w:rsidRPr="001D4321">
        <w:rPr>
          <w:sz w:val="24"/>
          <w:szCs w:val="24"/>
        </w:rPr>
        <w:t>application</w:t>
      </w:r>
      <w:r w:rsidR="00881EEA" w:rsidRPr="001D4321">
        <w:rPr>
          <w:sz w:val="24"/>
          <w:szCs w:val="24"/>
        </w:rPr>
        <w:t xml:space="preserve">. </w:t>
      </w:r>
    </w:p>
    <w:p w14:paraId="4E645FC6" w14:textId="77777777" w:rsidR="007F4071" w:rsidRPr="001D4321" w:rsidRDefault="00881EEA" w:rsidP="001D4321">
      <w:pPr>
        <w:jc w:val="both"/>
        <w:rPr>
          <w:sz w:val="24"/>
        </w:rPr>
      </w:pPr>
      <w:r w:rsidRPr="001D4321" w:rsidDel="00881EEA">
        <w:rPr>
          <w:rStyle w:val="CommentReference"/>
        </w:rPr>
        <w:t xml:space="preserve"> </w:t>
      </w:r>
    </w:p>
    <w:p w14:paraId="7BBAFBCE" w14:textId="77777777" w:rsidR="007F4071" w:rsidRDefault="007F4071" w:rsidP="00881EEA">
      <w:pPr>
        <w:numPr>
          <w:ilvl w:val="0"/>
          <w:numId w:val="14"/>
        </w:numPr>
        <w:ind w:left="540" w:hanging="540"/>
        <w:rPr>
          <w:sz w:val="24"/>
        </w:rPr>
      </w:pPr>
      <w:r w:rsidRPr="001D4321">
        <w:rPr>
          <w:b/>
          <w:sz w:val="24"/>
          <w:u w:val="single"/>
        </w:rPr>
        <w:t>Public Hearing</w:t>
      </w:r>
    </w:p>
    <w:p w14:paraId="4F5AF59C" w14:textId="77777777" w:rsidR="007F4071" w:rsidRDefault="007F4071" w:rsidP="00881EEA">
      <w:pPr>
        <w:rPr>
          <w:sz w:val="24"/>
        </w:rPr>
      </w:pPr>
    </w:p>
    <w:p w14:paraId="6F8D518A" w14:textId="77777777" w:rsidR="00A64E66" w:rsidRPr="00A64E66" w:rsidRDefault="001B7320" w:rsidP="00881EEA">
      <w:pPr>
        <w:numPr>
          <w:ilvl w:val="0"/>
          <w:numId w:val="39"/>
        </w:numPr>
        <w:jc w:val="both"/>
        <w:rPr>
          <w:sz w:val="24"/>
        </w:rPr>
      </w:pPr>
      <w:r>
        <w:rPr>
          <w:sz w:val="24"/>
        </w:rPr>
        <w:t>For f</w:t>
      </w:r>
      <w:r w:rsidR="007F4071">
        <w:rPr>
          <w:sz w:val="24"/>
        </w:rPr>
        <w:t>ederal</w:t>
      </w:r>
      <w:r w:rsidR="00A265D1">
        <w:rPr>
          <w:sz w:val="24"/>
        </w:rPr>
        <w:t>ly</w:t>
      </w:r>
      <w:r w:rsidR="007F4071">
        <w:rPr>
          <w:sz w:val="24"/>
        </w:rPr>
        <w:t xml:space="preserve"> tax-exempt </w:t>
      </w:r>
      <w:r w:rsidR="008150A4">
        <w:rPr>
          <w:sz w:val="24"/>
        </w:rPr>
        <w:t>B</w:t>
      </w:r>
      <w:r w:rsidR="00D646D1">
        <w:rPr>
          <w:sz w:val="24"/>
        </w:rPr>
        <w:t>onds</w:t>
      </w:r>
      <w:r w:rsidR="00A265D1">
        <w:rPr>
          <w:sz w:val="24"/>
        </w:rPr>
        <w:t xml:space="preserve"> </w:t>
      </w:r>
      <w:r>
        <w:rPr>
          <w:sz w:val="24"/>
        </w:rPr>
        <w:t>that are</w:t>
      </w:r>
      <w:r w:rsidR="007F4071">
        <w:rPr>
          <w:sz w:val="24"/>
        </w:rPr>
        <w:t xml:space="preserve"> subject to </w:t>
      </w:r>
      <w:hyperlink r:id="rId19" w:history="1">
        <w:r w:rsidR="007F4071" w:rsidRPr="000D37E3">
          <w:rPr>
            <w:rStyle w:val="Hyperlink"/>
            <w:sz w:val="24"/>
          </w:rPr>
          <w:t>Section 147(f) of the Internal Revenue Code of 1986</w:t>
        </w:r>
      </w:hyperlink>
      <w:r w:rsidR="007F4071">
        <w:rPr>
          <w:sz w:val="24"/>
        </w:rPr>
        <w:t>, as amended</w:t>
      </w:r>
      <w:r w:rsidR="00A64E66">
        <w:rPr>
          <w:sz w:val="24"/>
        </w:rPr>
        <w:t xml:space="preserve"> (“Section 147(f)”)</w:t>
      </w:r>
      <w:r>
        <w:rPr>
          <w:sz w:val="24"/>
        </w:rPr>
        <w:t xml:space="preserve">, the required </w:t>
      </w:r>
      <w:r w:rsidR="00A64E66">
        <w:rPr>
          <w:sz w:val="24"/>
        </w:rPr>
        <w:t xml:space="preserve">hearing must be completed prior to the Board meeting at which the </w:t>
      </w:r>
      <w:r w:rsidR="00EE41FF">
        <w:rPr>
          <w:sz w:val="24"/>
        </w:rPr>
        <w:t>applicant</w:t>
      </w:r>
      <w:r w:rsidR="00A64E66">
        <w:rPr>
          <w:sz w:val="24"/>
        </w:rPr>
        <w:t xml:space="preserve">’s </w:t>
      </w:r>
      <w:r w:rsidR="00F87B09">
        <w:rPr>
          <w:sz w:val="24"/>
        </w:rPr>
        <w:t>matter</w:t>
      </w:r>
      <w:r w:rsidR="00A64E66">
        <w:rPr>
          <w:sz w:val="24"/>
        </w:rPr>
        <w:t xml:space="preserve"> is to be considered</w:t>
      </w:r>
      <w:r w:rsidR="007F4071">
        <w:rPr>
          <w:sz w:val="24"/>
        </w:rPr>
        <w:t xml:space="preserve">. </w:t>
      </w:r>
    </w:p>
    <w:p w14:paraId="1B7DFC3E" w14:textId="77777777" w:rsidR="007F4071" w:rsidRDefault="007F4071" w:rsidP="00B859F2">
      <w:pPr>
        <w:ind w:left="900"/>
        <w:jc w:val="both"/>
        <w:rPr>
          <w:sz w:val="24"/>
        </w:rPr>
      </w:pPr>
    </w:p>
    <w:p w14:paraId="4B429995" w14:textId="05D674BD" w:rsidR="007F4071" w:rsidRPr="003C09CD" w:rsidRDefault="003C09CD" w:rsidP="00B859F2">
      <w:pPr>
        <w:numPr>
          <w:ilvl w:val="0"/>
          <w:numId w:val="16"/>
        </w:numPr>
        <w:ind w:left="540" w:hanging="540"/>
        <w:rPr>
          <w:b/>
          <w:sz w:val="24"/>
          <w:szCs w:val="24"/>
          <w:u w:val="single"/>
        </w:rPr>
      </w:pPr>
      <w:r w:rsidRPr="003C09CD">
        <w:rPr>
          <w:b/>
          <w:sz w:val="24"/>
          <w:szCs w:val="24"/>
          <w:u w:val="single"/>
        </w:rPr>
        <w:t>Relocation</w:t>
      </w:r>
    </w:p>
    <w:p w14:paraId="550AD8C5" w14:textId="77777777" w:rsidR="0069748F" w:rsidRPr="001D4321" w:rsidRDefault="0069748F" w:rsidP="008150A4">
      <w:pPr>
        <w:ind w:left="540"/>
        <w:rPr>
          <w:sz w:val="24"/>
          <w:szCs w:val="24"/>
        </w:rPr>
      </w:pPr>
    </w:p>
    <w:p w14:paraId="1C2AF022" w14:textId="433D87CC" w:rsidR="007F4071" w:rsidRPr="001D4321" w:rsidRDefault="0054164A" w:rsidP="001D4321">
      <w:pPr>
        <w:numPr>
          <w:ilvl w:val="0"/>
          <w:numId w:val="17"/>
        </w:numPr>
        <w:jc w:val="both"/>
        <w:rPr>
          <w:color w:val="000000"/>
          <w:sz w:val="24"/>
          <w:szCs w:val="24"/>
        </w:rPr>
      </w:pPr>
      <w:r w:rsidRPr="001D4321">
        <w:rPr>
          <w:sz w:val="24"/>
          <w:szCs w:val="24"/>
        </w:rPr>
        <w:t xml:space="preserve">In general, </w:t>
      </w:r>
      <w:r w:rsidR="002044AE" w:rsidRPr="001D4321">
        <w:rPr>
          <w:sz w:val="24"/>
          <w:szCs w:val="24"/>
        </w:rPr>
        <w:t>IBank</w:t>
      </w:r>
      <w:r w:rsidR="007F4071" w:rsidRPr="001D4321">
        <w:rPr>
          <w:sz w:val="24"/>
          <w:szCs w:val="24"/>
        </w:rPr>
        <w:t xml:space="preserve"> </w:t>
      </w:r>
      <w:r w:rsidRPr="001D4321">
        <w:rPr>
          <w:sz w:val="24"/>
          <w:szCs w:val="24"/>
        </w:rPr>
        <w:t>will not</w:t>
      </w:r>
      <w:r w:rsidR="007F4071" w:rsidRPr="001D4321">
        <w:rPr>
          <w:sz w:val="24"/>
          <w:szCs w:val="24"/>
        </w:rPr>
        <w:t xml:space="preserve"> issue </w:t>
      </w:r>
      <w:r w:rsidR="00D646D1" w:rsidRPr="001D4321">
        <w:rPr>
          <w:sz w:val="24"/>
          <w:szCs w:val="24"/>
        </w:rPr>
        <w:t>Bonds</w:t>
      </w:r>
      <w:r w:rsidR="007F4071" w:rsidRPr="001D4321">
        <w:rPr>
          <w:sz w:val="24"/>
          <w:szCs w:val="24"/>
        </w:rPr>
        <w:t xml:space="preserve"> t</w:t>
      </w:r>
      <w:r w:rsidRPr="001D4321">
        <w:rPr>
          <w:sz w:val="24"/>
          <w:szCs w:val="24"/>
        </w:rPr>
        <w:t>hat directly</w:t>
      </w:r>
      <w:r w:rsidR="007F4071" w:rsidRPr="001D4321">
        <w:rPr>
          <w:sz w:val="24"/>
          <w:szCs w:val="24"/>
        </w:rPr>
        <w:t xml:space="preserve"> </w:t>
      </w:r>
      <w:r w:rsidRPr="001D4321">
        <w:rPr>
          <w:sz w:val="24"/>
          <w:szCs w:val="24"/>
        </w:rPr>
        <w:t>cause</w:t>
      </w:r>
      <w:r w:rsidR="007F4071" w:rsidRPr="001D4321">
        <w:rPr>
          <w:sz w:val="24"/>
          <w:szCs w:val="24"/>
        </w:rPr>
        <w:t xml:space="preserve"> the relocation of a project from one jurisdiction of the </w:t>
      </w:r>
      <w:r w:rsidR="005F2E15" w:rsidRPr="001D4321">
        <w:rPr>
          <w:sz w:val="24"/>
          <w:szCs w:val="24"/>
        </w:rPr>
        <w:t>S</w:t>
      </w:r>
      <w:r w:rsidR="007F4071" w:rsidRPr="001D4321">
        <w:rPr>
          <w:sz w:val="24"/>
          <w:szCs w:val="24"/>
        </w:rPr>
        <w:t xml:space="preserve">tate to another without substantial justification. </w:t>
      </w:r>
      <w:r w:rsidR="002044AE" w:rsidRPr="001D4321">
        <w:rPr>
          <w:sz w:val="24"/>
          <w:szCs w:val="24"/>
        </w:rPr>
        <w:t>IBank</w:t>
      </w:r>
      <w:r w:rsidR="007F4071" w:rsidRPr="001D4321">
        <w:rPr>
          <w:sz w:val="24"/>
          <w:szCs w:val="24"/>
        </w:rPr>
        <w:t xml:space="preserve"> will carefully weigh the overall public benefits </w:t>
      </w:r>
      <w:r w:rsidRPr="001D4321">
        <w:rPr>
          <w:sz w:val="24"/>
          <w:szCs w:val="24"/>
        </w:rPr>
        <w:t>associated with the relocation</w:t>
      </w:r>
      <w:r w:rsidR="007F4071" w:rsidRPr="001D4321">
        <w:rPr>
          <w:sz w:val="24"/>
          <w:szCs w:val="24"/>
        </w:rPr>
        <w:t xml:space="preserve"> against the detriment to the community from which the project is relocated.  </w:t>
      </w:r>
    </w:p>
    <w:p w14:paraId="364B17C7" w14:textId="77777777" w:rsidR="007F4071" w:rsidRPr="0067432D" w:rsidRDefault="007F4071" w:rsidP="0067432D">
      <w:pPr>
        <w:numPr>
          <w:ilvl w:val="12"/>
          <w:numId w:val="0"/>
        </w:numPr>
        <w:ind w:left="900" w:hanging="360"/>
        <w:jc w:val="both"/>
        <w:rPr>
          <w:sz w:val="24"/>
          <w:szCs w:val="24"/>
        </w:rPr>
      </w:pPr>
    </w:p>
    <w:p w14:paraId="79DBF572" w14:textId="188E8FA5" w:rsidR="002451D5" w:rsidRPr="00366E63" w:rsidRDefault="007F6782" w:rsidP="00305619">
      <w:pPr>
        <w:pStyle w:val="ListParagraph"/>
        <w:numPr>
          <w:ilvl w:val="0"/>
          <w:numId w:val="17"/>
        </w:numPr>
        <w:tabs>
          <w:tab w:val="left" w:pos="900"/>
        </w:tabs>
        <w:spacing w:after="100" w:afterAutospacing="1"/>
        <w:jc w:val="both"/>
        <w:rPr>
          <w:rFonts w:ascii="Times New Roman" w:hAnsi="Times New Roman"/>
          <w:sz w:val="24"/>
          <w:szCs w:val="24"/>
        </w:rPr>
      </w:pPr>
      <w:r w:rsidRPr="00366E63">
        <w:rPr>
          <w:rFonts w:ascii="Times New Roman" w:hAnsi="Times New Roman"/>
          <w:sz w:val="24"/>
          <w:szCs w:val="24"/>
        </w:rPr>
        <w:t xml:space="preserve">Applications submitted in connection with project relocations </w:t>
      </w:r>
      <w:r w:rsidR="007F4071" w:rsidRPr="00366E63">
        <w:rPr>
          <w:rFonts w:ascii="Times New Roman" w:hAnsi="Times New Roman"/>
          <w:sz w:val="24"/>
          <w:szCs w:val="24"/>
        </w:rPr>
        <w:t>must describe</w:t>
      </w:r>
      <w:r w:rsidR="00275F01" w:rsidRPr="00366E63">
        <w:rPr>
          <w:rFonts w:ascii="Times New Roman" w:hAnsi="Times New Roman"/>
          <w:sz w:val="24"/>
          <w:szCs w:val="24"/>
        </w:rPr>
        <w:t xml:space="preserve"> </w:t>
      </w:r>
      <w:r w:rsidRPr="00366E63">
        <w:rPr>
          <w:rFonts w:ascii="Times New Roman" w:hAnsi="Times New Roman"/>
          <w:sz w:val="24"/>
          <w:szCs w:val="24"/>
        </w:rPr>
        <w:t>any community outreach</w:t>
      </w:r>
      <w:r w:rsidR="007F4071" w:rsidRPr="00366E63">
        <w:rPr>
          <w:rFonts w:ascii="Times New Roman" w:hAnsi="Times New Roman"/>
          <w:sz w:val="24"/>
          <w:szCs w:val="24"/>
        </w:rPr>
        <w:t xml:space="preserve"> efforts</w:t>
      </w:r>
      <w:r w:rsidR="00480B0C" w:rsidRPr="00366E63">
        <w:rPr>
          <w:rFonts w:ascii="Times New Roman" w:hAnsi="Times New Roman"/>
          <w:sz w:val="24"/>
          <w:szCs w:val="24"/>
        </w:rPr>
        <w:t>, including outreach efforts to local governments, community organizations, and surrounding businesses.</w:t>
      </w:r>
    </w:p>
    <w:p w14:paraId="0664138C" w14:textId="77777777" w:rsidR="007F4071" w:rsidRPr="0067432D" w:rsidRDefault="007F4071" w:rsidP="00305619">
      <w:pPr>
        <w:jc w:val="both"/>
        <w:rPr>
          <w:sz w:val="24"/>
          <w:szCs w:val="24"/>
        </w:rPr>
      </w:pPr>
    </w:p>
    <w:p w14:paraId="484EA286" w14:textId="5A5B5ECE" w:rsidR="007F4071" w:rsidRPr="001D4321" w:rsidRDefault="007F4071" w:rsidP="001D4321">
      <w:pPr>
        <w:numPr>
          <w:ilvl w:val="0"/>
          <w:numId w:val="18"/>
        </w:numPr>
        <w:ind w:left="540" w:hanging="540"/>
        <w:rPr>
          <w:sz w:val="24"/>
          <w:szCs w:val="24"/>
        </w:rPr>
      </w:pPr>
      <w:r w:rsidRPr="001D4321">
        <w:rPr>
          <w:b/>
          <w:sz w:val="24"/>
          <w:szCs w:val="24"/>
          <w:u w:val="single"/>
        </w:rPr>
        <w:t>Public Interest Criteria</w:t>
      </w:r>
    </w:p>
    <w:p w14:paraId="0BBDBF28" w14:textId="7E50DB60" w:rsidR="007F4071" w:rsidRPr="001D4321" w:rsidRDefault="007F4071" w:rsidP="001D4321">
      <w:pPr>
        <w:rPr>
          <w:sz w:val="24"/>
          <w:szCs w:val="24"/>
        </w:rPr>
      </w:pPr>
    </w:p>
    <w:p w14:paraId="095B1828" w14:textId="0F37B3E0" w:rsidR="007F4071" w:rsidRPr="001D4321" w:rsidRDefault="007F4071" w:rsidP="001D4321">
      <w:pPr>
        <w:numPr>
          <w:ilvl w:val="0"/>
          <w:numId w:val="19"/>
        </w:numPr>
        <w:jc w:val="both"/>
        <w:rPr>
          <w:color w:val="000000"/>
          <w:sz w:val="24"/>
          <w:szCs w:val="24"/>
        </w:rPr>
      </w:pPr>
      <w:r w:rsidRPr="001D4321">
        <w:rPr>
          <w:sz w:val="24"/>
          <w:szCs w:val="24"/>
        </w:rPr>
        <w:t xml:space="preserve">No </w:t>
      </w:r>
      <w:r w:rsidR="00D646D1" w:rsidRPr="001D4321">
        <w:rPr>
          <w:sz w:val="24"/>
          <w:szCs w:val="24"/>
        </w:rPr>
        <w:t>Bonds</w:t>
      </w:r>
      <w:r w:rsidRPr="001D4321">
        <w:rPr>
          <w:sz w:val="24"/>
          <w:szCs w:val="24"/>
        </w:rPr>
        <w:t xml:space="preserve"> shall be issued by</w:t>
      </w:r>
      <w:r w:rsidR="00275F01" w:rsidRPr="001D4321">
        <w:rPr>
          <w:sz w:val="24"/>
          <w:szCs w:val="24"/>
        </w:rPr>
        <w:t xml:space="preserve"> </w:t>
      </w:r>
      <w:r w:rsidR="002044AE" w:rsidRPr="001D4321">
        <w:rPr>
          <w:sz w:val="24"/>
          <w:szCs w:val="24"/>
        </w:rPr>
        <w:t>IBank</w:t>
      </w:r>
      <w:r w:rsidRPr="001D4321">
        <w:rPr>
          <w:sz w:val="24"/>
          <w:szCs w:val="24"/>
        </w:rPr>
        <w:t xml:space="preserve"> unless</w:t>
      </w:r>
      <w:r w:rsidR="00275F01" w:rsidRPr="001D4321">
        <w:rPr>
          <w:sz w:val="24"/>
          <w:szCs w:val="24"/>
        </w:rPr>
        <w:t xml:space="preserve"> </w:t>
      </w:r>
      <w:r w:rsidR="002044AE" w:rsidRPr="001D4321">
        <w:rPr>
          <w:sz w:val="24"/>
          <w:szCs w:val="24"/>
        </w:rPr>
        <w:t>IBank</w:t>
      </w:r>
      <w:r w:rsidR="00F30B80" w:rsidRPr="001D4321">
        <w:rPr>
          <w:sz w:val="24"/>
          <w:szCs w:val="24"/>
        </w:rPr>
        <w:t xml:space="preserve"> staff</w:t>
      </w:r>
      <w:r w:rsidRPr="001D4321">
        <w:rPr>
          <w:sz w:val="24"/>
          <w:szCs w:val="24"/>
        </w:rPr>
        <w:t xml:space="preserve"> shall have first determined that the financing meets the following public interest criteria: </w:t>
      </w:r>
    </w:p>
    <w:p w14:paraId="06BA79F8" w14:textId="6C43687B" w:rsidR="007F4071" w:rsidRPr="001D4321" w:rsidRDefault="007F4071" w:rsidP="001D4321">
      <w:pPr>
        <w:jc w:val="both"/>
        <w:rPr>
          <w:sz w:val="24"/>
          <w:szCs w:val="24"/>
        </w:rPr>
      </w:pPr>
    </w:p>
    <w:p w14:paraId="3AE5E4DA" w14:textId="66FC645A" w:rsidR="007F4071" w:rsidRPr="001D4321" w:rsidRDefault="007F4071" w:rsidP="001D4321">
      <w:pPr>
        <w:numPr>
          <w:ilvl w:val="0"/>
          <w:numId w:val="20"/>
        </w:numPr>
        <w:ind w:left="1620"/>
        <w:jc w:val="both"/>
        <w:rPr>
          <w:color w:val="000000"/>
          <w:sz w:val="24"/>
          <w:szCs w:val="24"/>
        </w:rPr>
      </w:pPr>
      <w:r w:rsidRPr="001D4321">
        <w:rPr>
          <w:sz w:val="24"/>
          <w:szCs w:val="24"/>
        </w:rPr>
        <w:t>The financing is for a project or a use in the State of California</w:t>
      </w:r>
      <w:r w:rsidR="008150A4" w:rsidRPr="001D4321">
        <w:rPr>
          <w:sz w:val="24"/>
          <w:szCs w:val="24"/>
        </w:rPr>
        <w:t>;</w:t>
      </w:r>
    </w:p>
    <w:p w14:paraId="20895D28" w14:textId="67857929" w:rsidR="007F4071" w:rsidRPr="001D4321" w:rsidRDefault="007F4071" w:rsidP="001D4321">
      <w:pPr>
        <w:numPr>
          <w:ilvl w:val="0"/>
          <w:numId w:val="20"/>
        </w:numPr>
        <w:ind w:left="1620"/>
        <w:jc w:val="both"/>
        <w:rPr>
          <w:color w:val="000000"/>
          <w:sz w:val="24"/>
          <w:szCs w:val="24"/>
        </w:rPr>
      </w:pPr>
      <w:r w:rsidRPr="001D4321">
        <w:rPr>
          <w:sz w:val="24"/>
          <w:szCs w:val="24"/>
        </w:rPr>
        <w:t xml:space="preserve">The </w:t>
      </w:r>
      <w:r w:rsidR="00EE41FF" w:rsidRPr="001D4321">
        <w:rPr>
          <w:sz w:val="24"/>
          <w:szCs w:val="24"/>
        </w:rPr>
        <w:t>Applicant</w:t>
      </w:r>
      <w:r w:rsidRPr="001D4321">
        <w:rPr>
          <w:sz w:val="24"/>
          <w:szCs w:val="24"/>
        </w:rPr>
        <w:t xml:space="preserve"> is capable of meeting obligations incurred under relevant agreements relating to the Bonds</w:t>
      </w:r>
      <w:r w:rsidR="002B6506" w:rsidRPr="001D4321">
        <w:rPr>
          <w:sz w:val="24"/>
          <w:szCs w:val="24"/>
        </w:rPr>
        <w:t xml:space="preserve"> </w:t>
      </w:r>
      <w:r w:rsidRPr="001D4321">
        <w:rPr>
          <w:sz w:val="24"/>
          <w:szCs w:val="24"/>
        </w:rPr>
        <w:t xml:space="preserve">issued by </w:t>
      </w:r>
      <w:r w:rsidR="002044AE" w:rsidRPr="001D4321">
        <w:rPr>
          <w:sz w:val="24"/>
          <w:szCs w:val="24"/>
        </w:rPr>
        <w:t>IBan</w:t>
      </w:r>
      <w:r w:rsidR="008150A4" w:rsidRPr="001D4321">
        <w:rPr>
          <w:sz w:val="24"/>
          <w:szCs w:val="24"/>
        </w:rPr>
        <w:t>k;</w:t>
      </w:r>
      <w:r w:rsidRPr="001D4321">
        <w:rPr>
          <w:sz w:val="24"/>
          <w:szCs w:val="24"/>
        </w:rPr>
        <w:t xml:space="preserve"> </w:t>
      </w:r>
    </w:p>
    <w:p w14:paraId="50C798D4" w14:textId="5F6DBC3B" w:rsidR="007F4071" w:rsidRPr="001D4321" w:rsidRDefault="007F4071" w:rsidP="001D4321">
      <w:pPr>
        <w:numPr>
          <w:ilvl w:val="0"/>
          <w:numId w:val="20"/>
        </w:numPr>
        <w:ind w:left="1620"/>
        <w:jc w:val="both"/>
        <w:rPr>
          <w:color w:val="000000"/>
          <w:sz w:val="24"/>
          <w:szCs w:val="24"/>
        </w:rPr>
      </w:pPr>
      <w:r w:rsidRPr="001D4321">
        <w:rPr>
          <w:sz w:val="24"/>
          <w:szCs w:val="24"/>
        </w:rPr>
        <w:t xml:space="preserve">Payments to be made under applicable financing documents are adequate to pay the current expenses of </w:t>
      </w:r>
      <w:r w:rsidR="002044AE" w:rsidRPr="001D4321">
        <w:rPr>
          <w:sz w:val="24"/>
          <w:szCs w:val="24"/>
        </w:rPr>
        <w:t>IBank</w:t>
      </w:r>
      <w:r w:rsidRPr="001D4321">
        <w:rPr>
          <w:sz w:val="24"/>
          <w:szCs w:val="24"/>
        </w:rPr>
        <w:t xml:space="preserve"> in connection with the financing and to make payments on the Bonds</w:t>
      </w:r>
      <w:r w:rsidR="008150A4" w:rsidRPr="001D4321">
        <w:rPr>
          <w:sz w:val="24"/>
          <w:szCs w:val="24"/>
        </w:rPr>
        <w:t>;</w:t>
      </w:r>
      <w:r w:rsidRPr="001D4321">
        <w:rPr>
          <w:sz w:val="24"/>
          <w:szCs w:val="24"/>
        </w:rPr>
        <w:t xml:space="preserve"> </w:t>
      </w:r>
    </w:p>
    <w:p w14:paraId="143ED9EE" w14:textId="0FDB030C" w:rsidR="007F4071" w:rsidRPr="001D4321" w:rsidRDefault="007F4071" w:rsidP="001D4321">
      <w:pPr>
        <w:numPr>
          <w:ilvl w:val="0"/>
          <w:numId w:val="20"/>
        </w:numPr>
        <w:ind w:left="1620"/>
        <w:rPr>
          <w:color w:val="000000"/>
          <w:sz w:val="24"/>
          <w:szCs w:val="24"/>
        </w:rPr>
      </w:pPr>
      <w:r w:rsidRPr="001D4321">
        <w:rPr>
          <w:sz w:val="24"/>
          <w:szCs w:val="24"/>
        </w:rPr>
        <w:t>The proposed financing is appropriate for the specific project</w:t>
      </w:r>
      <w:r w:rsidR="008150A4" w:rsidRPr="001D4321">
        <w:rPr>
          <w:sz w:val="24"/>
          <w:szCs w:val="24"/>
        </w:rPr>
        <w:t>; and</w:t>
      </w:r>
    </w:p>
    <w:p w14:paraId="4A3B3BEE" w14:textId="77777777" w:rsidR="007F4071" w:rsidRPr="001D4321" w:rsidRDefault="007F4071" w:rsidP="001D4321">
      <w:pPr>
        <w:numPr>
          <w:ilvl w:val="0"/>
          <w:numId w:val="20"/>
        </w:numPr>
        <w:ind w:left="1620"/>
        <w:jc w:val="both"/>
        <w:rPr>
          <w:color w:val="000000"/>
          <w:sz w:val="24"/>
          <w:szCs w:val="24"/>
        </w:rPr>
      </w:pPr>
      <w:r w:rsidRPr="001D4321">
        <w:rPr>
          <w:sz w:val="24"/>
          <w:szCs w:val="24"/>
        </w:rPr>
        <w:t>The project is consistent with any existing local or regional comprehensive plan.</w:t>
      </w:r>
      <w:r w:rsidR="0063637B" w:rsidRPr="001D4321">
        <w:rPr>
          <w:sz w:val="24"/>
          <w:szCs w:val="24"/>
        </w:rPr>
        <w:t xml:space="preserve"> </w:t>
      </w:r>
    </w:p>
    <w:p w14:paraId="5D76E357" w14:textId="7629F06A" w:rsidR="007F4071" w:rsidRPr="001D4321" w:rsidRDefault="007F4071" w:rsidP="008150A4">
      <w:pPr>
        <w:ind w:left="360"/>
        <w:rPr>
          <w:sz w:val="24"/>
          <w:szCs w:val="24"/>
        </w:rPr>
      </w:pPr>
    </w:p>
    <w:p w14:paraId="34FC5E31" w14:textId="4AC45C71" w:rsidR="007F4071" w:rsidRPr="001D4321" w:rsidRDefault="002044AE" w:rsidP="001D4321">
      <w:pPr>
        <w:numPr>
          <w:ilvl w:val="0"/>
          <w:numId w:val="21"/>
        </w:numPr>
        <w:jc w:val="both"/>
        <w:rPr>
          <w:color w:val="000000"/>
          <w:sz w:val="24"/>
          <w:szCs w:val="24"/>
        </w:rPr>
      </w:pPr>
      <w:r w:rsidRPr="001D4321">
        <w:rPr>
          <w:sz w:val="24"/>
          <w:szCs w:val="24"/>
        </w:rPr>
        <w:lastRenderedPageBreak/>
        <w:t>IBank</w:t>
      </w:r>
      <w:r w:rsidR="007F4071" w:rsidRPr="001D4321">
        <w:rPr>
          <w:sz w:val="24"/>
          <w:szCs w:val="24"/>
        </w:rPr>
        <w:t xml:space="preserve"> requires</w:t>
      </w:r>
      <w:r w:rsidR="008C3C1A" w:rsidRPr="001D4321">
        <w:rPr>
          <w:sz w:val="24"/>
          <w:szCs w:val="24"/>
        </w:rPr>
        <w:t xml:space="preserve"> that any </w:t>
      </w:r>
      <w:r w:rsidR="005F2E15" w:rsidRPr="001D4321">
        <w:rPr>
          <w:sz w:val="24"/>
          <w:szCs w:val="24"/>
        </w:rPr>
        <w:t>Economic Development Facility</w:t>
      </w:r>
      <w:r w:rsidR="008C3C1A" w:rsidRPr="001D4321">
        <w:rPr>
          <w:sz w:val="24"/>
          <w:szCs w:val="24"/>
        </w:rPr>
        <w:t xml:space="preserve"> it finances or refinances </w:t>
      </w:r>
      <w:r w:rsidR="006E3CB4" w:rsidRPr="001D4321">
        <w:rPr>
          <w:sz w:val="24"/>
          <w:szCs w:val="24"/>
        </w:rPr>
        <w:t>through the issuance of</w:t>
      </w:r>
      <w:r w:rsidR="008C3C1A" w:rsidRPr="001D4321">
        <w:rPr>
          <w:sz w:val="24"/>
          <w:szCs w:val="24"/>
        </w:rPr>
        <w:t xml:space="preserve"> conduit </w:t>
      </w:r>
      <w:r w:rsidR="00D646D1" w:rsidRPr="001D4321">
        <w:rPr>
          <w:sz w:val="24"/>
          <w:szCs w:val="24"/>
        </w:rPr>
        <w:t>bonds</w:t>
      </w:r>
      <w:r w:rsidR="008C3C1A" w:rsidRPr="001D4321">
        <w:rPr>
          <w:sz w:val="24"/>
          <w:szCs w:val="24"/>
        </w:rPr>
        <w:t xml:space="preserve"> benefit the public. </w:t>
      </w:r>
      <w:r w:rsidR="007F4071" w:rsidRPr="001D4321">
        <w:rPr>
          <w:sz w:val="24"/>
          <w:szCs w:val="24"/>
        </w:rPr>
        <w:t xml:space="preserve">The following represent </w:t>
      </w:r>
      <w:r w:rsidR="00E25EDA" w:rsidRPr="001D4321">
        <w:rPr>
          <w:sz w:val="24"/>
          <w:szCs w:val="24"/>
        </w:rPr>
        <w:t xml:space="preserve">such </w:t>
      </w:r>
      <w:r w:rsidR="007F4071" w:rsidRPr="001D4321">
        <w:rPr>
          <w:sz w:val="24"/>
          <w:szCs w:val="24"/>
        </w:rPr>
        <w:t xml:space="preserve">public </w:t>
      </w:r>
      <w:r w:rsidR="004E7D68" w:rsidRPr="001D4321">
        <w:rPr>
          <w:sz w:val="24"/>
          <w:szCs w:val="24"/>
        </w:rPr>
        <w:t>benefit criteria</w:t>
      </w:r>
      <w:r w:rsidR="007F4071" w:rsidRPr="001D4321">
        <w:rPr>
          <w:sz w:val="24"/>
          <w:szCs w:val="24"/>
        </w:rPr>
        <w:t>:</w:t>
      </w:r>
    </w:p>
    <w:p w14:paraId="50B6529E" w14:textId="41F8FD95" w:rsidR="007F4071" w:rsidRPr="001D4321" w:rsidRDefault="007F4071" w:rsidP="001D4321">
      <w:pPr>
        <w:rPr>
          <w:sz w:val="24"/>
          <w:szCs w:val="24"/>
        </w:rPr>
      </w:pPr>
    </w:p>
    <w:p w14:paraId="7D8C68E9" w14:textId="6A1B254D" w:rsidR="007F4071" w:rsidRPr="001D4321" w:rsidRDefault="007F4071" w:rsidP="001D4321">
      <w:pPr>
        <w:numPr>
          <w:ilvl w:val="0"/>
          <w:numId w:val="22"/>
        </w:numPr>
        <w:ind w:left="1620"/>
        <w:jc w:val="both"/>
        <w:rPr>
          <w:color w:val="000000"/>
          <w:sz w:val="24"/>
          <w:szCs w:val="24"/>
        </w:rPr>
      </w:pPr>
      <w:r w:rsidRPr="001D4321">
        <w:rPr>
          <w:b/>
          <w:sz w:val="24"/>
          <w:szCs w:val="24"/>
        </w:rPr>
        <w:t xml:space="preserve">Industrial </w:t>
      </w:r>
      <w:r w:rsidR="002B6506" w:rsidRPr="001D4321">
        <w:rPr>
          <w:b/>
          <w:sz w:val="24"/>
          <w:szCs w:val="24"/>
        </w:rPr>
        <w:t>D</w:t>
      </w:r>
      <w:r w:rsidRPr="001D4321">
        <w:rPr>
          <w:b/>
          <w:sz w:val="24"/>
          <w:szCs w:val="24"/>
        </w:rPr>
        <w:t xml:space="preserve">evelopment </w:t>
      </w:r>
      <w:r w:rsidR="002B6506" w:rsidRPr="001D4321">
        <w:rPr>
          <w:b/>
          <w:sz w:val="24"/>
          <w:szCs w:val="24"/>
        </w:rPr>
        <w:t>B</w:t>
      </w:r>
      <w:r w:rsidRPr="001D4321">
        <w:rPr>
          <w:b/>
          <w:sz w:val="24"/>
          <w:szCs w:val="24"/>
        </w:rPr>
        <w:t>onds</w:t>
      </w:r>
      <w:r w:rsidRPr="001D4321">
        <w:rPr>
          <w:sz w:val="24"/>
          <w:szCs w:val="24"/>
        </w:rPr>
        <w:t xml:space="preserve">. The issuance of </w:t>
      </w:r>
      <w:r w:rsidR="008150A4" w:rsidRPr="001D4321">
        <w:rPr>
          <w:sz w:val="24"/>
          <w:szCs w:val="24"/>
        </w:rPr>
        <w:t>B</w:t>
      </w:r>
      <w:r w:rsidR="00D646D1" w:rsidRPr="001D4321">
        <w:rPr>
          <w:sz w:val="24"/>
          <w:szCs w:val="24"/>
        </w:rPr>
        <w:t>onds</w:t>
      </w:r>
      <w:r w:rsidRPr="001D4321">
        <w:rPr>
          <w:sz w:val="24"/>
          <w:szCs w:val="24"/>
        </w:rPr>
        <w:t xml:space="preserve"> must demonstrate clear economic benefit to the community</w:t>
      </w:r>
      <w:r w:rsidR="009F1BCD" w:rsidRPr="001D4321">
        <w:rPr>
          <w:sz w:val="24"/>
          <w:szCs w:val="24"/>
        </w:rPr>
        <w:t xml:space="preserve"> surrounding the Economic Development Facility to be financed</w:t>
      </w:r>
      <w:r w:rsidRPr="001D4321">
        <w:rPr>
          <w:sz w:val="24"/>
          <w:szCs w:val="24"/>
        </w:rPr>
        <w:t>. Typically, this is shown by the creation of new jobs</w:t>
      </w:r>
      <w:r w:rsidR="004E7D68" w:rsidRPr="001D4321">
        <w:rPr>
          <w:sz w:val="24"/>
          <w:szCs w:val="24"/>
        </w:rPr>
        <w:t xml:space="preserve"> and</w:t>
      </w:r>
      <w:r w:rsidRPr="001D4321">
        <w:rPr>
          <w:sz w:val="24"/>
          <w:szCs w:val="24"/>
        </w:rPr>
        <w:t xml:space="preserve"> retention of existing jobs, but other economic benefits may be considered. The </w:t>
      </w:r>
      <w:r w:rsidR="00EE41FF" w:rsidRPr="001D4321">
        <w:rPr>
          <w:sz w:val="24"/>
          <w:szCs w:val="24"/>
        </w:rPr>
        <w:t>Applicant</w:t>
      </w:r>
      <w:r w:rsidRPr="001D4321">
        <w:rPr>
          <w:sz w:val="24"/>
          <w:szCs w:val="24"/>
        </w:rPr>
        <w:t xml:space="preserve"> must also comply with the policies, procedures</w:t>
      </w:r>
      <w:r w:rsidR="008150A4" w:rsidRPr="001D4321">
        <w:rPr>
          <w:sz w:val="24"/>
          <w:szCs w:val="24"/>
        </w:rPr>
        <w:t>;</w:t>
      </w:r>
      <w:r w:rsidRPr="001D4321">
        <w:rPr>
          <w:sz w:val="24"/>
          <w:szCs w:val="24"/>
        </w:rPr>
        <w:t xml:space="preserve"> and public interest criteria of </w:t>
      </w:r>
      <w:r w:rsidR="0063637B" w:rsidRPr="001D4321">
        <w:rPr>
          <w:sz w:val="24"/>
          <w:szCs w:val="24"/>
        </w:rPr>
        <w:t>CDLAC</w:t>
      </w:r>
      <w:r w:rsidRPr="001D4321">
        <w:rPr>
          <w:sz w:val="24"/>
          <w:szCs w:val="24"/>
        </w:rPr>
        <w:t>.</w:t>
      </w:r>
    </w:p>
    <w:p w14:paraId="0EA1B9F8" w14:textId="1A12434E" w:rsidR="007F4071" w:rsidRPr="001D4321" w:rsidRDefault="007F4071" w:rsidP="001D4321">
      <w:pPr>
        <w:numPr>
          <w:ilvl w:val="12"/>
          <w:numId w:val="0"/>
        </w:numPr>
        <w:jc w:val="both"/>
        <w:rPr>
          <w:sz w:val="24"/>
          <w:szCs w:val="24"/>
        </w:rPr>
      </w:pPr>
    </w:p>
    <w:p w14:paraId="6D68145E" w14:textId="2E72FB67" w:rsidR="007F4071" w:rsidRPr="001D4321" w:rsidRDefault="007F4071" w:rsidP="001D4321">
      <w:pPr>
        <w:numPr>
          <w:ilvl w:val="0"/>
          <w:numId w:val="22"/>
        </w:numPr>
        <w:ind w:left="1620"/>
        <w:jc w:val="both"/>
        <w:rPr>
          <w:color w:val="000000"/>
          <w:sz w:val="24"/>
          <w:szCs w:val="24"/>
        </w:rPr>
      </w:pPr>
      <w:r w:rsidRPr="001D4321">
        <w:rPr>
          <w:b/>
          <w:sz w:val="24"/>
          <w:szCs w:val="24"/>
        </w:rPr>
        <w:t>501(c)(3)</w:t>
      </w:r>
      <w:r w:rsidR="002B6506" w:rsidRPr="001D4321">
        <w:rPr>
          <w:b/>
          <w:sz w:val="24"/>
          <w:szCs w:val="24"/>
        </w:rPr>
        <w:t xml:space="preserve"> B</w:t>
      </w:r>
      <w:r w:rsidR="00D646D1" w:rsidRPr="001D4321">
        <w:rPr>
          <w:b/>
          <w:sz w:val="24"/>
          <w:szCs w:val="24"/>
        </w:rPr>
        <w:t>onds</w:t>
      </w:r>
      <w:r w:rsidRPr="001D4321">
        <w:rPr>
          <w:sz w:val="24"/>
          <w:szCs w:val="24"/>
        </w:rPr>
        <w:t xml:space="preserve">. </w:t>
      </w:r>
      <w:r w:rsidR="009F1BCD" w:rsidRPr="001D4321">
        <w:rPr>
          <w:sz w:val="24"/>
          <w:szCs w:val="24"/>
        </w:rPr>
        <w:t>Economic Development Facilities</w:t>
      </w:r>
      <w:r w:rsidRPr="001D4321">
        <w:rPr>
          <w:sz w:val="24"/>
          <w:szCs w:val="24"/>
        </w:rPr>
        <w:t xml:space="preserve"> </w:t>
      </w:r>
      <w:r w:rsidR="009142CD" w:rsidRPr="001D4321">
        <w:rPr>
          <w:sz w:val="24"/>
          <w:szCs w:val="24"/>
        </w:rPr>
        <w:t xml:space="preserve">financed or refinanced by </w:t>
      </w:r>
      <w:r w:rsidR="002044AE" w:rsidRPr="001D4321">
        <w:rPr>
          <w:sz w:val="24"/>
          <w:szCs w:val="24"/>
        </w:rPr>
        <w:t>IBank</w:t>
      </w:r>
      <w:r w:rsidR="009142CD" w:rsidRPr="001D4321">
        <w:rPr>
          <w:sz w:val="24"/>
          <w:szCs w:val="24"/>
        </w:rPr>
        <w:t xml:space="preserve">’s </w:t>
      </w:r>
      <w:r w:rsidR="00940AFD" w:rsidRPr="001D4321">
        <w:rPr>
          <w:sz w:val="24"/>
          <w:szCs w:val="24"/>
        </w:rPr>
        <w:t>issuance</w:t>
      </w:r>
      <w:r w:rsidR="009142CD" w:rsidRPr="001D4321">
        <w:rPr>
          <w:sz w:val="24"/>
          <w:szCs w:val="24"/>
        </w:rPr>
        <w:t xml:space="preserve"> of </w:t>
      </w:r>
      <w:r w:rsidR="00C30DFD" w:rsidRPr="001D4321">
        <w:rPr>
          <w:sz w:val="24"/>
          <w:szCs w:val="24"/>
        </w:rPr>
        <w:t xml:space="preserve">501(c)(3) </w:t>
      </w:r>
      <w:r w:rsidR="009142CD" w:rsidRPr="001D4321">
        <w:rPr>
          <w:sz w:val="24"/>
          <w:szCs w:val="24"/>
        </w:rPr>
        <w:t>conduit bond</w:t>
      </w:r>
      <w:r w:rsidR="0037621A" w:rsidRPr="001D4321">
        <w:rPr>
          <w:sz w:val="24"/>
          <w:szCs w:val="24"/>
        </w:rPr>
        <w:t>s</w:t>
      </w:r>
      <w:r w:rsidR="009142CD" w:rsidRPr="001D4321">
        <w:rPr>
          <w:sz w:val="24"/>
          <w:szCs w:val="24"/>
        </w:rPr>
        <w:t xml:space="preserve">, </w:t>
      </w:r>
      <w:r w:rsidRPr="001D4321">
        <w:rPr>
          <w:sz w:val="24"/>
          <w:szCs w:val="24"/>
        </w:rPr>
        <w:t xml:space="preserve">must </w:t>
      </w:r>
      <w:r w:rsidR="00F30B80" w:rsidRPr="001D4321">
        <w:rPr>
          <w:sz w:val="24"/>
          <w:szCs w:val="24"/>
        </w:rPr>
        <w:t>clearly benefit the</w:t>
      </w:r>
      <w:r w:rsidRPr="001D4321">
        <w:rPr>
          <w:sz w:val="24"/>
          <w:szCs w:val="24"/>
        </w:rPr>
        <w:t xml:space="preserve"> </w:t>
      </w:r>
      <w:r w:rsidR="00F30B80" w:rsidRPr="001D4321">
        <w:rPr>
          <w:sz w:val="24"/>
          <w:szCs w:val="24"/>
        </w:rPr>
        <w:t>public. Public benefits include the</w:t>
      </w:r>
      <w:r w:rsidRPr="001D4321">
        <w:rPr>
          <w:sz w:val="24"/>
          <w:szCs w:val="24"/>
        </w:rPr>
        <w:t xml:space="preserve"> provision of additional</w:t>
      </w:r>
      <w:r w:rsidR="008150A4" w:rsidRPr="001D4321">
        <w:rPr>
          <w:sz w:val="24"/>
          <w:szCs w:val="24"/>
        </w:rPr>
        <w:t>,</w:t>
      </w:r>
      <w:r w:rsidR="004E7D68" w:rsidRPr="001D4321">
        <w:rPr>
          <w:sz w:val="24"/>
          <w:szCs w:val="24"/>
        </w:rPr>
        <w:t xml:space="preserve"> or continuation of existing</w:t>
      </w:r>
      <w:r w:rsidR="009F1BCD" w:rsidRPr="001D4321">
        <w:rPr>
          <w:sz w:val="24"/>
          <w:szCs w:val="24"/>
        </w:rPr>
        <w:t>,</w:t>
      </w:r>
      <w:r w:rsidRPr="001D4321">
        <w:rPr>
          <w:sz w:val="24"/>
          <w:szCs w:val="24"/>
        </w:rPr>
        <w:t xml:space="preserve"> services, the provision of additional</w:t>
      </w:r>
      <w:r w:rsidR="009F1BCD" w:rsidRPr="001D4321">
        <w:rPr>
          <w:sz w:val="24"/>
          <w:szCs w:val="24"/>
        </w:rPr>
        <w:t>,</w:t>
      </w:r>
      <w:r w:rsidR="004E7D68" w:rsidRPr="001D4321">
        <w:rPr>
          <w:sz w:val="24"/>
          <w:szCs w:val="24"/>
        </w:rPr>
        <w:t xml:space="preserve"> or continuation of existing</w:t>
      </w:r>
      <w:r w:rsidR="009F1BCD" w:rsidRPr="001D4321">
        <w:rPr>
          <w:sz w:val="24"/>
          <w:szCs w:val="24"/>
        </w:rPr>
        <w:t>,</w:t>
      </w:r>
      <w:r w:rsidRPr="001D4321">
        <w:rPr>
          <w:sz w:val="24"/>
          <w:szCs w:val="24"/>
        </w:rPr>
        <w:t xml:space="preserve"> educational, scientific, social</w:t>
      </w:r>
      <w:r w:rsidR="008150A4" w:rsidRPr="001D4321">
        <w:rPr>
          <w:sz w:val="24"/>
          <w:szCs w:val="24"/>
        </w:rPr>
        <w:t>,</w:t>
      </w:r>
      <w:r w:rsidRPr="001D4321">
        <w:rPr>
          <w:sz w:val="24"/>
          <w:szCs w:val="24"/>
        </w:rPr>
        <w:t xml:space="preserve"> or cultural resources to the community</w:t>
      </w:r>
      <w:r w:rsidR="004E4349" w:rsidRPr="001D4321">
        <w:rPr>
          <w:sz w:val="24"/>
          <w:szCs w:val="24"/>
        </w:rPr>
        <w:t xml:space="preserve"> surrounding the Economic Development Facility</w:t>
      </w:r>
      <w:r w:rsidRPr="001D4321">
        <w:rPr>
          <w:sz w:val="24"/>
          <w:szCs w:val="24"/>
        </w:rPr>
        <w:t xml:space="preserve"> or the State, or the creation or retention of jobs. </w:t>
      </w:r>
    </w:p>
    <w:p w14:paraId="4CE2399B" w14:textId="50A8D71A" w:rsidR="007F4071" w:rsidRPr="001D4321" w:rsidRDefault="007F4071" w:rsidP="001D4321">
      <w:pPr>
        <w:numPr>
          <w:ilvl w:val="12"/>
          <w:numId w:val="0"/>
        </w:numPr>
        <w:ind w:left="1620" w:hanging="360"/>
        <w:jc w:val="both"/>
        <w:rPr>
          <w:sz w:val="24"/>
          <w:szCs w:val="24"/>
        </w:rPr>
      </w:pPr>
    </w:p>
    <w:p w14:paraId="1DC8D909" w14:textId="40CABF3F" w:rsidR="007F4071" w:rsidRPr="001D4321" w:rsidRDefault="007F4071" w:rsidP="001D4321">
      <w:pPr>
        <w:numPr>
          <w:ilvl w:val="0"/>
          <w:numId w:val="22"/>
        </w:numPr>
        <w:ind w:left="1620"/>
        <w:jc w:val="both"/>
        <w:rPr>
          <w:color w:val="000000"/>
          <w:sz w:val="24"/>
          <w:szCs w:val="24"/>
        </w:rPr>
      </w:pPr>
      <w:r w:rsidRPr="001D4321">
        <w:rPr>
          <w:b/>
          <w:sz w:val="24"/>
          <w:szCs w:val="24"/>
        </w:rPr>
        <w:t xml:space="preserve">Exempt </w:t>
      </w:r>
      <w:r w:rsidR="002B6506" w:rsidRPr="001D4321">
        <w:rPr>
          <w:b/>
          <w:sz w:val="24"/>
          <w:szCs w:val="24"/>
        </w:rPr>
        <w:t>F</w:t>
      </w:r>
      <w:r w:rsidRPr="001D4321">
        <w:rPr>
          <w:b/>
          <w:sz w:val="24"/>
          <w:szCs w:val="24"/>
        </w:rPr>
        <w:t xml:space="preserve">acility </w:t>
      </w:r>
      <w:r w:rsidR="002B6506" w:rsidRPr="001D4321">
        <w:rPr>
          <w:b/>
          <w:sz w:val="24"/>
          <w:szCs w:val="24"/>
        </w:rPr>
        <w:t>B</w:t>
      </w:r>
      <w:r w:rsidRPr="001D4321">
        <w:rPr>
          <w:b/>
          <w:sz w:val="24"/>
          <w:szCs w:val="24"/>
        </w:rPr>
        <w:t>onds</w:t>
      </w:r>
      <w:r w:rsidRPr="001D4321">
        <w:rPr>
          <w:sz w:val="24"/>
          <w:szCs w:val="24"/>
        </w:rPr>
        <w:t xml:space="preserve">. </w:t>
      </w:r>
      <w:r w:rsidR="009F1BCD" w:rsidRPr="001D4321">
        <w:rPr>
          <w:sz w:val="24"/>
          <w:szCs w:val="24"/>
        </w:rPr>
        <w:t>Economic Development Facilities</w:t>
      </w:r>
      <w:r w:rsidRPr="001D4321">
        <w:rPr>
          <w:sz w:val="24"/>
          <w:szCs w:val="24"/>
        </w:rPr>
        <w:t xml:space="preserve"> </w:t>
      </w:r>
      <w:r w:rsidR="009142CD" w:rsidRPr="001D4321">
        <w:rPr>
          <w:sz w:val="24"/>
          <w:szCs w:val="24"/>
        </w:rPr>
        <w:t xml:space="preserve">financed or refinanced by </w:t>
      </w:r>
      <w:r w:rsidR="002044AE" w:rsidRPr="001D4321">
        <w:rPr>
          <w:sz w:val="24"/>
          <w:szCs w:val="24"/>
        </w:rPr>
        <w:t>IBank</w:t>
      </w:r>
      <w:r w:rsidR="009142CD" w:rsidRPr="001D4321">
        <w:rPr>
          <w:sz w:val="24"/>
          <w:szCs w:val="24"/>
        </w:rPr>
        <w:t xml:space="preserve">’s </w:t>
      </w:r>
      <w:r w:rsidR="00940AFD" w:rsidRPr="001D4321">
        <w:rPr>
          <w:sz w:val="24"/>
          <w:szCs w:val="24"/>
        </w:rPr>
        <w:t>issuance</w:t>
      </w:r>
      <w:r w:rsidR="009142CD" w:rsidRPr="001D4321">
        <w:rPr>
          <w:sz w:val="24"/>
          <w:szCs w:val="24"/>
        </w:rPr>
        <w:t xml:space="preserve"> of conduit </w:t>
      </w:r>
      <w:r w:rsidR="004E7D68" w:rsidRPr="001D4321">
        <w:rPr>
          <w:sz w:val="24"/>
          <w:szCs w:val="24"/>
        </w:rPr>
        <w:t xml:space="preserve">exempt facility </w:t>
      </w:r>
      <w:r w:rsidR="009142CD" w:rsidRPr="001D4321">
        <w:rPr>
          <w:sz w:val="24"/>
          <w:szCs w:val="24"/>
        </w:rPr>
        <w:t>bond</w:t>
      </w:r>
      <w:r w:rsidR="0037621A" w:rsidRPr="001D4321">
        <w:rPr>
          <w:sz w:val="24"/>
          <w:szCs w:val="24"/>
        </w:rPr>
        <w:t>s</w:t>
      </w:r>
      <w:r w:rsidR="009142CD" w:rsidRPr="001D4321">
        <w:rPr>
          <w:sz w:val="24"/>
          <w:szCs w:val="24"/>
        </w:rPr>
        <w:t xml:space="preserve"> </w:t>
      </w:r>
      <w:r w:rsidRPr="001D4321">
        <w:rPr>
          <w:sz w:val="24"/>
          <w:szCs w:val="24"/>
        </w:rPr>
        <w:t>must</w:t>
      </w:r>
      <w:r w:rsidR="006F1B24" w:rsidRPr="001D4321">
        <w:rPr>
          <w:sz w:val="24"/>
          <w:szCs w:val="24"/>
        </w:rPr>
        <w:t xml:space="preserve"> clearly benefit the public. Public benefits include </w:t>
      </w:r>
      <w:r w:rsidRPr="001D4321">
        <w:rPr>
          <w:sz w:val="24"/>
          <w:szCs w:val="24"/>
        </w:rPr>
        <w:t>economic</w:t>
      </w:r>
      <w:r w:rsidR="006F1B24" w:rsidRPr="001D4321">
        <w:rPr>
          <w:sz w:val="24"/>
          <w:szCs w:val="24"/>
        </w:rPr>
        <w:t xml:space="preserve"> or</w:t>
      </w:r>
      <w:r w:rsidRPr="001D4321">
        <w:rPr>
          <w:sz w:val="24"/>
          <w:szCs w:val="24"/>
        </w:rPr>
        <w:t xml:space="preserve"> environmental</w:t>
      </w:r>
      <w:r w:rsidR="006F1B24" w:rsidRPr="001D4321">
        <w:rPr>
          <w:sz w:val="24"/>
          <w:szCs w:val="24"/>
        </w:rPr>
        <w:t xml:space="preserve"> improvements</w:t>
      </w:r>
      <w:r w:rsidRPr="001D4321">
        <w:rPr>
          <w:sz w:val="24"/>
          <w:szCs w:val="24"/>
        </w:rPr>
        <w:t xml:space="preserve"> to the State or the community</w:t>
      </w:r>
      <w:r w:rsidR="004E4349" w:rsidRPr="001D4321">
        <w:rPr>
          <w:sz w:val="24"/>
          <w:szCs w:val="24"/>
        </w:rPr>
        <w:t xml:space="preserve"> surrounding the Economic Development Facility</w:t>
      </w:r>
      <w:r w:rsidR="006F1B24" w:rsidRPr="001D4321">
        <w:rPr>
          <w:sz w:val="24"/>
          <w:szCs w:val="24"/>
        </w:rPr>
        <w:t>,</w:t>
      </w:r>
      <w:r w:rsidRPr="001D4321">
        <w:rPr>
          <w:sz w:val="24"/>
          <w:szCs w:val="24"/>
        </w:rPr>
        <w:t xml:space="preserve"> such as increased local revenues, improvements to infrastructure, expansion of the State or local economy, job creation or retention, or other specific local goals and objectives.</w:t>
      </w:r>
    </w:p>
    <w:p w14:paraId="3D3AED0F" w14:textId="3D17B79E" w:rsidR="007F4071" w:rsidRPr="001D4321" w:rsidRDefault="007F4071" w:rsidP="001D4321">
      <w:pPr>
        <w:numPr>
          <w:ilvl w:val="12"/>
          <w:numId w:val="0"/>
        </w:numPr>
        <w:ind w:left="1620" w:hanging="360"/>
        <w:rPr>
          <w:sz w:val="24"/>
          <w:szCs w:val="24"/>
        </w:rPr>
      </w:pPr>
    </w:p>
    <w:p w14:paraId="18A53A88" w14:textId="37D8ABB6" w:rsidR="007F4071" w:rsidRPr="001D4321" w:rsidRDefault="001620C1" w:rsidP="001D4321">
      <w:pPr>
        <w:numPr>
          <w:ilvl w:val="0"/>
          <w:numId w:val="22"/>
        </w:numPr>
        <w:ind w:left="1620"/>
        <w:jc w:val="both"/>
        <w:rPr>
          <w:color w:val="000000"/>
          <w:sz w:val="24"/>
          <w:szCs w:val="24"/>
        </w:rPr>
      </w:pPr>
      <w:r w:rsidRPr="001D4321">
        <w:rPr>
          <w:b/>
          <w:sz w:val="24"/>
          <w:szCs w:val="24"/>
        </w:rPr>
        <w:t xml:space="preserve">Public Agency Revenue </w:t>
      </w:r>
      <w:r w:rsidR="00C30DFD" w:rsidRPr="001D4321">
        <w:rPr>
          <w:b/>
          <w:sz w:val="24"/>
          <w:szCs w:val="24"/>
        </w:rPr>
        <w:t>Bonds</w:t>
      </w:r>
      <w:r w:rsidRPr="001D4321">
        <w:rPr>
          <w:b/>
          <w:sz w:val="24"/>
          <w:szCs w:val="24"/>
        </w:rPr>
        <w:t xml:space="preserve"> for Economic Development Facilities</w:t>
      </w:r>
      <w:r w:rsidRPr="001D4321">
        <w:rPr>
          <w:sz w:val="24"/>
          <w:szCs w:val="24"/>
        </w:rPr>
        <w:t>.</w:t>
      </w:r>
      <w:r w:rsidR="007F4071" w:rsidRPr="001D4321">
        <w:rPr>
          <w:sz w:val="24"/>
          <w:szCs w:val="24"/>
        </w:rPr>
        <w:t xml:space="preserve"> </w:t>
      </w:r>
      <w:r w:rsidR="009F1BCD" w:rsidRPr="001D4321">
        <w:rPr>
          <w:sz w:val="24"/>
          <w:szCs w:val="24"/>
        </w:rPr>
        <w:t>Economic Development Facilities</w:t>
      </w:r>
      <w:r w:rsidR="009142CD" w:rsidRPr="001D4321">
        <w:rPr>
          <w:sz w:val="24"/>
          <w:szCs w:val="24"/>
        </w:rPr>
        <w:t xml:space="preserve"> financed or refinanced by </w:t>
      </w:r>
      <w:r w:rsidR="002044AE" w:rsidRPr="001D4321">
        <w:rPr>
          <w:sz w:val="24"/>
          <w:szCs w:val="24"/>
        </w:rPr>
        <w:t>IBank</w:t>
      </w:r>
      <w:r w:rsidR="009142CD" w:rsidRPr="001D4321">
        <w:rPr>
          <w:sz w:val="24"/>
          <w:szCs w:val="24"/>
        </w:rPr>
        <w:t xml:space="preserve">’s </w:t>
      </w:r>
      <w:r w:rsidR="00940AFD" w:rsidRPr="001D4321">
        <w:rPr>
          <w:sz w:val="24"/>
          <w:szCs w:val="24"/>
        </w:rPr>
        <w:t>issuance</w:t>
      </w:r>
      <w:r w:rsidR="009142CD" w:rsidRPr="001D4321">
        <w:rPr>
          <w:sz w:val="24"/>
          <w:szCs w:val="24"/>
        </w:rPr>
        <w:t xml:space="preserve"> of </w:t>
      </w:r>
      <w:r w:rsidR="00C30DFD" w:rsidRPr="001D4321">
        <w:rPr>
          <w:sz w:val="24"/>
          <w:szCs w:val="24"/>
        </w:rPr>
        <w:t xml:space="preserve">public agency revenue </w:t>
      </w:r>
      <w:r w:rsidR="009142CD" w:rsidRPr="001D4321">
        <w:rPr>
          <w:sz w:val="24"/>
          <w:szCs w:val="24"/>
        </w:rPr>
        <w:t>conduit bond</w:t>
      </w:r>
      <w:r w:rsidR="0037621A" w:rsidRPr="001D4321">
        <w:rPr>
          <w:sz w:val="24"/>
          <w:szCs w:val="24"/>
        </w:rPr>
        <w:t>s</w:t>
      </w:r>
      <w:r w:rsidR="009142CD" w:rsidRPr="001D4321">
        <w:rPr>
          <w:sz w:val="24"/>
          <w:szCs w:val="24"/>
        </w:rPr>
        <w:t xml:space="preserve"> </w:t>
      </w:r>
      <w:r w:rsidR="007F4071" w:rsidRPr="001D4321">
        <w:rPr>
          <w:sz w:val="24"/>
          <w:szCs w:val="24"/>
        </w:rPr>
        <w:t>must demonstrate an enhancement of the infrastructure or the</w:t>
      </w:r>
      <w:r w:rsidR="00C30DFD" w:rsidRPr="001D4321">
        <w:rPr>
          <w:sz w:val="24"/>
          <w:szCs w:val="24"/>
        </w:rPr>
        <w:t xml:space="preserve"> enhancement or continuation of the</w:t>
      </w:r>
      <w:r w:rsidR="007F4071" w:rsidRPr="001D4321">
        <w:rPr>
          <w:sz w:val="24"/>
          <w:szCs w:val="24"/>
        </w:rPr>
        <w:t xml:space="preserve"> economic, social</w:t>
      </w:r>
      <w:r w:rsidR="008150A4" w:rsidRPr="001D4321">
        <w:rPr>
          <w:sz w:val="24"/>
          <w:szCs w:val="24"/>
        </w:rPr>
        <w:t>,</w:t>
      </w:r>
      <w:r w:rsidR="007F4071" w:rsidRPr="001D4321">
        <w:rPr>
          <w:sz w:val="24"/>
          <w:szCs w:val="24"/>
        </w:rPr>
        <w:t xml:space="preserve"> or cultural quality of life for residents in the community</w:t>
      </w:r>
      <w:r w:rsidR="004E4349" w:rsidRPr="001D4321">
        <w:rPr>
          <w:sz w:val="24"/>
          <w:szCs w:val="24"/>
        </w:rPr>
        <w:t xml:space="preserve"> surrounding the Economic Development Facility</w:t>
      </w:r>
      <w:r w:rsidR="007F4071" w:rsidRPr="001D4321">
        <w:rPr>
          <w:sz w:val="24"/>
          <w:szCs w:val="24"/>
        </w:rPr>
        <w:t xml:space="preserve"> or the State.</w:t>
      </w:r>
    </w:p>
    <w:p w14:paraId="15C34455" w14:textId="4E79AE85" w:rsidR="007F4071" w:rsidRPr="001D4321" w:rsidRDefault="007F4071" w:rsidP="00B9383C">
      <w:pPr>
        <w:rPr>
          <w:sz w:val="24"/>
          <w:szCs w:val="24"/>
        </w:rPr>
      </w:pPr>
    </w:p>
    <w:p w14:paraId="7F212AF2" w14:textId="2D290B0B" w:rsidR="007F4071" w:rsidRPr="00B9383C" w:rsidRDefault="007F4071" w:rsidP="00B9383C">
      <w:pPr>
        <w:numPr>
          <w:ilvl w:val="0"/>
          <w:numId w:val="24"/>
        </w:numPr>
        <w:tabs>
          <w:tab w:val="left" w:pos="720"/>
        </w:tabs>
        <w:ind w:left="540" w:hanging="540"/>
        <w:rPr>
          <w:sz w:val="24"/>
          <w:szCs w:val="24"/>
        </w:rPr>
      </w:pPr>
      <w:r w:rsidRPr="00B9383C">
        <w:rPr>
          <w:b/>
          <w:sz w:val="24"/>
          <w:szCs w:val="24"/>
          <w:u w:val="single"/>
        </w:rPr>
        <w:t>Contractor Certification</w:t>
      </w:r>
    </w:p>
    <w:p w14:paraId="36797D5A" w14:textId="1A997FF6" w:rsidR="007F4071" w:rsidRPr="00B9383C" w:rsidRDefault="007F4071" w:rsidP="00B9383C">
      <w:pPr>
        <w:rPr>
          <w:sz w:val="24"/>
          <w:szCs w:val="24"/>
        </w:rPr>
      </w:pPr>
    </w:p>
    <w:p w14:paraId="6DCAADD9" w14:textId="23FE76C4" w:rsidR="007F4071" w:rsidRPr="00C33518" w:rsidRDefault="007F4071" w:rsidP="00C33518">
      <w:pPr>
        <w:numPr>
          <w:ilvl w:val="0"/>
          <w:numId w:val="25"/>
        </w:numPr>
        <w:jc w:val="both"/>
        <w:rPr>
          <w:color w:val="000000"/>
          <w:sz w:val="24"/>
          <w:szCs w:val="24"/>
        </w:rPr>
      </w:pPr>
      <w:bookmarkStart w:id="1" w:name="_Hlk63847269"/>
      <w:r w:rsidRPr="00B9383C">
        <w:rPr>
          <w:sz w:val="24"/>
          <w:szCs w:val="24"/>
        </w:rPr>
        <w:t xml:space="preserve">Any </w:t>
      </w:r>
      <w:r w:rsidR="00EE41FF" w:rsidRPr="00B9383C">
        <w:rPr>
          <w:sz w:val="24"/>
          <w:szCs w:val="24"/>
        </w:rPr>
        <w:t>applicant</w:t>
      </w:r>
      <w:r w:rsidRPr="00B9383C">
        <w:rPr>
          <w:sz w:val="24"/>
          <w:szCs w:val="24"/>
        </w:rPr>
        <w:t xml:space="preserve"> that utilizes bond proceeds for construction purposes shall certify that</w:t>
      </w:r>
      <w:r w:rsidR="00495BC4" w:rsidRPr="00B9383C">
        <w:rPr>
          <w:sz w:val="24"/>
          <w:szCs w:val="24"/>
        </w:rPr>
        <w:t xml:space="preserve"> all</w:t>
      </w:r>
      <w:r w:rsidRPr="00B9383C">
        <w:rPr>
          <w:sz w:val="24"/>
          <w:szCs w:val="24"/>
        </w:rPr>
        <w:t xml:space="preserve"> the </w:t>
      </w:r>
      <w:r w:rsidR="00495BC4" w:rsidRPr="00B9383C">
        <w:rPr>
          <w:sz w:val="24"/>
          <w:szCs w:val="24"/>
        </w:rPr>
        <w:t xml:space="preserve">general </w:t>
      </w:r>
      <w:r w:rsidRPr="00B9383C">
        <w:rPr>
          <w:sz w:val="24"/>
          <w:szCs w:val="24"/>
        </w:rPr>
        <w:t xml:space="preserve">contractors are properly licensed </w:t>
      </w:r>
      <w:bookmarkEnd w:id="1"/>
      <w:r w:rsidRPr="00B9383C">
        <w:rPr>
          <w:sz w:val="24"/>
          <w:szCs w:val="24"/>
        </w:rPr>
        <w:t xml:space="preserve">by the </w:t>
      </w:r>
      <w:hyperlink r:id="rId20" w:history="1">
        <w:r w:rsidRPr="00B9383C">
          <w:rPr>
            <w:rStyle w:val="Hyperlink"/>
            <w:sz w:val="24"/>
            <w:szCs w:val="24"/>
          </w:rPr>
          <w:t xml:space="preserve">Contractors’ State License Board. </w:t>
        </w:r>
      </w:hyperlink>
      <w:r w:rsidRPr="00B9383C">
        <w:rPr>
          <w:sz w:val="24"/>
          <w:szCs w:val="24"/>
        </w:rPr>
        <w:t xml:space="preserve"> </w:t>
      </w:r>
    </w:p>
    <w:p w14:paraId="137C5AF7" w14:textId="467CC653" w:rsidR="007F4071" w:rsidRPr="00C33518" w:rsidRDefault="007F4071" w:rsidP="00C33518">
      <w:pPr>
        <w:numPr>
          <w:ilvl w:val="12"/>
          <w:numId w:val="0"/>
        </w:numPr>
        <w:ind w:left="900" w:hanging="360"/>
        <w:jc w:val="both"/>
        <w:rPr>
          <w:sz w:val="24"/>
          <w:szCs w:val="24"/>
        </w:rPr>
      </w:pPr>
    </w:p>
    <w:p w14:paraId="24BA7665" w14:textId="3BD13645" w:rsidR="007F4071" w:rsidRPr="00C33518" w:rsidRDefault="007F4071" w:rsidP="00C33518">
      <w:pPr>
        <w:numPr>
          <w:ilvl w:val="0"/>
          <w:numId w:val="25"/>
        </w:numPr>
        <w:jc w:val="both"/>
        <w:rPr>
          <w:color w:val="000000"/>
          <w:sz w:val="24"/>
          <w:szCs w:val="24"/>
        </w:rPr>
      </w:pPr>
      <w:r w:rsidRPr="00C33518">
        <w:rPr>
          <w:sz w:val="24"/>
          <w:szCs w:val="24"/>
        </w:rPr>
        <w:t xml:space="preserve">All public works projects shall comply with </w:t>
      </w:r>
      <w:hyperlink r:id="rId21" w:history="1">
        <w:r w:rsidRPr="00C33518">
          <w:rPr>
            <w:rStyle w:val="Hyperlink"/>
            <w:sz w:val="24"/>
            <w:szCs w:val="24"/>
          </w:rPr>
          <w:t>Chapter 1 (commencing with Section 1720) of Part 7 of Division 2 of the Labor Code</w:t>
        </w:r>
      </w:hyperlink>
      <w:r w:rsidRPr="00C33518">
        <w:rPr>
          <w:sz w:val="24"/>
          <w:szCs w:val="24"/>
        </w:rPr>
        <w:t xml:space="preserve">.  </w:t>
      </w:r>
    </w:p>
    <w:p w14:paraId="205CD12B" w14:textId="641BBFEB" w:rsidR="007F4071" w:rsidRPr="00C33518" w:rsidRDefault="007F4071" w:rsidP="00C33518">
      <w:pPr>
        <w:rPr>
          <w:sz w:val="24"/>
          <w:szCs w:val="24"/>
        </w:rPr>
      </w:pPr>
    </w:p>
    <w:p w14:paraId="23D1153F" w14:textId="179E85D2" w:rsidR="007F4071" w:rsidRPr="00C33518" w:rsidRDefault="007F4071" w:rsidP="00C33518">
      <w:pPr>
        <w:numPr>
          <w:ilvl w:val="0"/>
          <w:numId w:val="26"/>
        </w:numPr>
        <w:ind w:left="540" w:hanging="540"/>
        <w:rPr>
          <w:sz w:val="24"/>
          <w:szCs w:val="24"/>
        </w:rPr>
      </w:pPr>
      <w:r w:rsidRPr="00C33518">
        <w:rPr>
          <w:b/>
          <w:sz w:val="24"/>
          <w:szCs w:val="24"/>
          <w:u w:val="single"/>
        </w:rPr>
        <w:t>Finance Team Approval</w:t>
      </w:r>
    </w:p>
    <w:p w14:paraId="2728D553" w14:textId="70D89C7F" w:rsidR="007F4071" w:rsidRPr="00C33518" w:rsidRDefault="007F4071">
      <w:pPr>
        <w:rPr>
          <w:sz w:val="24"/>
          <w:szCs w:val="24"/>
        </w:rPr>
      </w:pPr>
    </w:p>
    <w:p w14:paraId="648C96E9" w14:textId="58AAFD95" w:rsidR="001620C1" w:rsidRPr="00C33518" w:rsidRDefault="009E6AD8" w:rsidP="00C33518">
      <w:pPr>
        <w:numPr>
          <w:ilvl w:val="0"/>
          <w:numId w:val="27"/>
        </w:numPr>
        <w:jc w:val="both"/>
        <w:rPr>
          <w:sz w:val="24"/>
          <w:szCs w:val="24"/>
        </w:rPr>
      </w:pPr>
      <w:r w:rsidRPr="00C33518">
        <w:rPr>
          <w:sz w:val="24"/>
          <w:szCs w:val="24"/>
        </w:rPr>
        <w:t>IBank</w:t>
      </w:r>
      <w:r w:rsidR="007F4071" w:rsidRPr="00C33518">
        <w:rPr>
          <w:sz w:val="24"/>
          <w:szCs w:val="24"/>
        </w:rPr>
        <w:t xml:space="preserve"> shall have final approval of all finance team members, </w:t>
      </w:r>
      <w:r w:rsidR="001620C1" w:rsidRPr="00C33518">
        <w:rPr>
          <w:sz w:val="24"/>
          <w:szCs w:val="24"/>
        </w:rPr>
        <w:t>except the selection of</w:t>
      </w:r>
      <w:r w:rsidR="002254AD" w:rsidRPr="00C33518">
        <w:rPr>
          <w:sz w:val="24"/>
          <w:szCs w:val="24"/>
        </w:rPr>
        <w:t xml:space="preserve"> </w:t>
      </w:r>
      <w:r w:rsidR="004E4349" w:rsidRPr="00C33518">
        <w:rPr>
          <w:sz w:val="24"/>
          <w:szCs w:val="24"/>
        </w:rPr>
        <w:t>the</w:t>
      </w:r>
      <w:r w:rsidR="001620C1" w:rsidRPr="00C33518">
        <w:rPr>
          <w:sz w:val="24"/>
          <w:szCs w:val="24"/>
        </w:rPr>
        <w:t xml:space="preserve"> underwriter</w:t>
      </w:r>
      <w:r w:rsidR="004E4349" w:rsidRPr="00C33518">
        <w:rPr>
          <w:sz w:val="24"/>
          <w:szCs w:val="24"/>
        </w:rPr>
        <w:t>(s)</w:t>
      </w:r>
      <w:r w:rsidR="001620C1" w:rsidRPr="00C33518">
        <w:rPr>
          <w:sz w:val="24"/>
          <w:szCs w:val="24"/>
        </w:rPr>
        <w:t xml:space="preserve"> for a public offering transaction. T</w:t>
      </w:r>
      <w:r w:rsidR="007F4071" w:rsidRPr="00C33518">
        <w:rPr>
          <w:sz w:val="24"/>
          <w:szCs w:val="24"/>
        </w:rPr>
        <w:t>he State Treasurer shall have final approval of the underwriter</w:t>
      </w:r>
      <w:r w:rsidR="001620C1" w:rsidRPr="00C33518">
        <w:rPr>
          <w:sz w:val="24"/>
          <w:szCs w:val="24"/>
        </w:rPr>
        <w:t>(s)</w:t>
      </w:r>
      <w:r w:rsidR="00C30DFD" w:rsidRPr="00C33518">
        <w:rPr>
          <w:sz w:val="24"/>
          <w:szCs w:val="24"/>
        </w:rPr>
        <w:t>.</w:t>
      </w:r>
      <w:r w:rsidR="001620C1" w:rsidRPr="00C33518">
        <w:rPr>
          <w:sz w:val="24"/>
          <w:szCs w:val="24"/>
        </w:rPr>
        <w:t xml:space="preserve"> </w:t>
      </w:r>
      <w:r w:rsidR="00C30DFD" w:rsidRPr="00C33518">
        <w:rPr>
          <w:sz w:val="24"/>
          <w:szCs w:val="24"/>
        </w:rPr>
        <w:t>The State Treasurer</w:t>
      </w:r>
      <w:r w:rsidR="001620C1" w:rsidRPr="00C33518">
        <w:rPr>
          <w:sz w:val="24"/>
          <w:szCs w:val="24"/>
        </w:rPr>
        <w:t xml:space="preserve"> requires that the </w:t>
      </w:r>
      <w:r w:rsidR="004E4349" w:rsidRPr="00C33518">
        <w:rPr>
          <w:sz w:val="24"/>
          <w:szCs w:val="24"/>
        </w:rPr>
        <w:t>a</w:t>
      </w:r>
      <w:r w:rsidR="00EE41FF" w:rsidRPr="00C33518">
        <w:rPr>
          <w:sz w:val="24"/>
          <w:szCs w:val="24"/>
        </w:rPr>
        <w:t>pplicant</w:t>
      </w:r>
      <w:r w:rsidR="001620C1" w:rsidRPr="00C33518">
        <w:rPr>
          <w:sz w:val="24"/>
          <w:szCs w:val="24"/>
        </w:rPr>
        <w:t xml:space="preserve"> select</w:t>
      </w:r>
      <w:r w:rsidR="004E4349" w:rsidRPr="00C33518">
        <w:rPr>
          <w:sz w:val="24"/>
          <w:szCs w:val="24"/>
        </w:rPr>
        <w:t xml:space="preserve"> the</w:t>
      </w:r>
      <w:r w:rsidR="001620C1" w:rsidRPr="00C33518">
        <w:rPr>
          <w:sz w:val="24"/>
          <w:szCs w:val="24"/>
        </w:rPr>
        <w:t xml:space="preserve"> </w:t>
      </w:r>
      <w:r w:rsidR="001620C1" w:rsidRPr="00C33518">
        <w:rPr>
          <w:sz w:val="24"/>
          <w:szCs w:val="24"/>
        </w:rPr>
        <w:lastRenderedPageBreak/>
        <w:t xml:space="preserve">underwriter(s) from the </w:t>
      </w:r>
      <w:hyperlink r:id="rId22" w:history="1">
        <w:r w:rsidR="001620C1" w:rsidRPr="00C33518">
          <w:rPr>
            <w:rStyle w:val="Hyperlink"/>
            <w:sz w:val="24"/>
            <w:szCs w:val="24"/>
          </w:rPr>
          <w:t>Public Finance Division’s current Underwriter Pool</w:t>
        </w:r>
      </w:hyperlink>
      <w:r w:rsidR="001620C1" w:rsidRPr="00C33518">
        <w:rPr>
          <w:sz w:val="24"/>
          <w:szCs w:val="24"/>
        </w:rPr>
        <w:t xml:space="preserve"> posted on the State Treasurer’s website. </w:t>
      </w:r>
    </w:p>
    <w:p w14:paraId="0086469C" w14:textId="32CF340B" w:rsidR="007F4071" w:rsidRPr="00C33518" w:rsidRDefault="007F4071" w:rsidP="00C33518">
      <w:pPr>
        <w:ind w:left="900"/>
        <w:rPr>
          <w:sz w:val="24"/>
          <w:szCs w:val="24"/>
        </w:rPr>
      </w:pPr>
    </w:p>
    <w:p w14:paraId="3A4F799B" w14:textId="520C4796" w:rsidR="007F4071" w:rsidRPr="00C33518" w:rsidRDefault="007F4071" w:rsidP="00C33518">
      <w:pPr>
        <w:numPr>
          <w:ilvl w:val="0"/>
          <w:numId w:val="28"/>
        </w:numPr>
        <w:ind w:left="540" w:hanging="540"/>
        <w:rPr>
          <w:sz w:val="24"/>
          <w:szCs w:val="24"/>
        </w:rPr>
      </w:pPr>
      <w:r w:rsidRPr="00C33518">
        <w:rPr>
          <w:b/>
          <w:sz w:val="24"/>
          <w:szCs w:val="24"/>
          <w:u w:val="single"/>
        </w:rPr>
        <w:t>State Treasurer as Agent of Sale</w:t>
      </w:r>
    </w:p>
    <w:p w14:paraId="15F90C39" w14:textId="32C42148" w:rsidR="007F4071" w:rsidRPr="00C33518" w:rsidRDefault="007F4071">
      <w:pPr>
        <w:rPr>
          <w:sz w:val="24"/>
          <w:szCs w:val="24"/>
        </w:rPr>
      </w:pPr>
    </w:p>
    <w:p w14:paraId="0E56AEA4" w14:textId="457681DD" w:rsidR="007F4071" w:rsidRPr="00C33518" w:rsidRDefault="00D1768B" w:rsidP="00786DB8">
      <w:pPr>
        <w:numPr>
          <w:ilvl w:val="0"/>
          <w:numId w:val="29"/>
        </w:numPr>
        <w:jc w:val="both"/>
        <w:rPr>
          <w:color w:val="000000"/>
          <w:sz w:val="24"/>
          <w:szCs w:val="24"/>
        </w:rPr>
      </w:pPr>
      <w:r w:rsidRPr="00C33518">
        <w:rPr>
          <w:sz w:val="24"/>
          <w:szCs w:val="24"/>
        </w:rPr>
        <w:t xml:space="preserve">Sale of </w:t>
      </w:r>
      <w:r w:rsidR="002254AD" w:rsidRPr="00C33518">
        <w:rPr>
          <w:sz w:val="24"/>
          <w:szCs w:val="24"/>
        </w:rPr>
        <w:t>B</w:t>
      </w:r>
      <w:r w:rsidR="002B6506" w:rsidRPr="00C33518">
        <w:rPr>
          <w:sz w:val="24"/>
          <w:szCs w:val="24"/>
        </w:rPr>
        <w:t>onds</w:t>
      </w:r>
      <w:r w:rsidRPr="00C33518">
        <w:rPr>
          <w:sz w:val="24"/>
          <w:szCs w:val="24"/>
        </w:rPr>
        <w:t xml:space="preserve"> for certain types of transactions shall be coordinated by the State Treasurer in accordance with </w:t>
      </w:r>
      <w:hyperlink r:id="rId23" w:history="1">
        <w:r w:rsidRPr="00C33518">
          <w:rPr>
            <w:rStyle w:val="Hyperlink"/>
            <w:sz w:val="24"/>
            <w:szCs w:val="24"/>
          </w:rPr>
          <w:t>Government Code Section 5702.</w:t>
        </w:r>
      </w:hyperlink>
      <w:r w:rsidRPr="00C33518">
        <w:rPr>
          <w:sz w:val="24"/>
          <w:szCs w:val="24"/>
        </w:rPr>
        <w:t xml:space="preserve"> </w:t>
      </w:r>
      <w:r w:rsidR="007F4071" w:rsidRPr="00C33518">
        <w:rPr>
          <w:sz w:val="24"/>
          <w:szCs w:val="24"/>
        </w:rPr>
        <w:t xml:space="preserve">  </w:t>
      </w:r>
    </w:p>
    <w:p w14:paraId="2E768B71" w14:textId="6E60E335" w:rsidR="007F4071" w:rsidRPr="00C33518" w:rsidRDefault="007F4071" w:rsidP="00C33518">
      <w:pPr>
        <w:rPr>
          <w:sz w:val="24"/>
          <w:szCs w:val="24"/>
          <w:u w:val="single"/>
        </w:rPr>
      </w:pPr>
    </w:p>
    <w:p w14:paraId="14D03AEE" w14:textId="15F965FD" w:rsidR="007F4071" w:rsidRPr="00C33518" w:rsidRDefault="002B6506" w:rsidP="00C33518">
      <w:pPr>
        <w:numPr>
          <w:ilvl w:val="0"/>
          <w:numId w:val="30"/>
        </w:numPr>
        <w:ind w:left="540" w:hanging="540"/>
        <w:rPr>
          <w:sz w:val="24"/>
          <w:szCs w:val="24"/>
        </w:rPr>
      </w:pPr>
      <w:r w:rsidRPr="00C33518">
        <w:rPr>
          <w:b/>
          <w:sz w:val="24"/>
          <w:szCs w:val="24"/>
          <w:u w:val="single"/>
        </w:rPr>
        <w:t>Bonds</w:t>
      </w:r>
      <w:r w:rsidR="007F4071" w:rsidRPr="00C33518">
        <w:rPr>
          <w:b/>
          <w:sz w:val="24"/>
          <w:szCs w:val="24"/>
          <w:u w:val="single"/>
        </w:rPr>
        <w:t xml:space="preserve"> Not a Liability of the State</w:t>
      </w:r>
    </w:p>
    <w:p w14:paraId="13717DE0" w14:textId="1BCA4699" w:rsidR="007F4071" w:rsidRPr="00C33518" w:rsidRDefault="007F4071" w:rsidP="00C33518">
      <w:pPr>
        <w:rPr>
          <w:sz w:val="24"/>
          <w:szCs w:val="24"/>
        </w:rPr>
      </w:pPr>
    </w:p>
    <w:p w14:paraId="03F6C3CF" w14:textId="6CEB50A9" w:rsidR="00D1768B" w:rsidRPr="00C33518" w:rsidRDefault="00C34BAC" w:rsidP="0094292B">
      <w:pPr>
        <w:ind w:left="907" w:hanging="360"/>
        <w:jc w:val="both"/>
        <w:rPr>
          <w:rStyle w:val="Hyperlink"/>
          <w:sz w:val="24"/>
          <w:szCs w:val="24"/>
        </w:rPr>
      </w:pPr>
      <w:r>
        <w:rPr>
          <w:sz w:val="24"/>
          <w:szCs w:val="24"/>
        </w:rPr>
        <w:t xml:space="preserve">A. </w:t>
      </w:r>
      <w:r w:rsidR="00786DB8">
        <w:rPr>
          <w:sz w:val="24"/>
          <w:szCs w:val="24"/>
        </w:rPr>
        <w:t xml:space="preserve"> </w:t>
      </w:r>
      <w:r w:rsidR="002B6506" w:rsidRPr="00C33518">
        <w:rPr>
          <w:sz w:val="24"/>
          <w:szCs w:val="24"/>
        </w:rPr>
        <w:t>Bonds</w:t>
      </w:r>
      <w:r w:rsidR="00D1768B" w:rsidRPr="00C33518">
        <w:rPr>
          <w:sz w:val="24"/>
          <w:szCs w:val="24"/>
        </w:rPr>
        <w:t xml:space="preserve"> issued by </w:t>
      </w:r>
      <w:r w:rsidR="002044AE" w:rsidRPr="00C33518">
        <w:rPr>
          <w:sz w:val="24"/>
          <w:szCs w:val="24"/>
        </w:rPr>
        <w:t>IBank</w:t>
      </w:r>
      <w:r w:rsidR="00D1768B" w:rsidRPr="00C33518">
        <w:rPr>
          <w:sz w:val="24"/>
          <w:szCs w:val="24"/>
        </w:rPr>
        <w:t xml:space="preserve"> do not constitute a debt or liability of the State or any political subdivision</w:t>
      </w:r>
      <w:r w:rsidR="002254AD" w:rsidRPr="00C33518">
        <w:rPr>
          <w:sz w:val="24"/>
          <w:szCs w:val="24"/>
        </w:rPr>
        <w:t>s</w:t>
      </w:r>
      <w:r w:rsidR="00D1768B" w:rsidRPr="00C33518">
        <w:rPr>
          <w:sz w:val="24"/>
          <w:szCs w:val="24"/>
        </w:rPr>
        <w:t xml:space="preserve"> thereof</w:t>
      </w:r>
      <w:r w:rsidR="002254AD" w:rsidRPr="00C33518">
        <w:rPr>
          <w:sz w:val="24"/>
          <w:szCs w:val="24"/>
        </w:rPr>
        <w:t>;</w:t>
      </w:r>
      <w:r w:rsidR="00D1768B" w:rsidRPr="00C33518">
        <w:rPr>
          <w:sz w:val="24"/>
          <w:szCs w:val="24"/>
        </w:rPr>
        <w:t xml:space="preserve"> other than the limited obligation of </w:t>
      </w:r>
      <w:r w:rsidR="002044AE" w:rsidRPr="00C33518">
        <w:rPr>
          <w:sz w:val="24"/>
          <w:szCs w:val="24"/>
        </w:rPr>
        <w:t>IBank</w:t>
      </w:r>
      <w:r w:rsidR="00D1768B" w:rsidRPr="00C33518">
        <w:rPr>
          <w:sz w:val="24"/>
          <w:szCs w:val="24"/>
        </w:rPr>
        <w:t xml:space="preserve"> or a special purpose trust, and do not constitute a pledge of the full faith and credit of the State or any of its political subdivisions, other than the limited pledge of </w:t>
      </w:r>
      <w:r w:rsidR="002044AE" w:rsidRPr="00C33518">
        <w:rPr>
          <w:sz w:val="24"/>
          <w:szCs w:val="24"/>
        </w:rPr>
        <w:t>IBank</w:t>
      </w:r>
      <w:r w:rsidR="00D1768B" w:rsidRPr="00C33518">
        <w:rPr>
          <w:sz w:val="24"/>
          <w:szCs w:val="24"/>
        </w:rPr>
        <w:t xml:space="preserve"> or special purpose trust to make payments from revenues received from the conduit borrower, but are payable solely from the funds provided therefor under the Act and shall be consistent with </w:t>
      </w:r>
      <w:r w:rsidR="00D1768B" w:rsidRPr="00C33518">
        <w:rPr>
          <w:color w:val="0563C1"/>
          <w:sz w:val="24"/>
          <w:szCs w:val="24"/>
          <w:u w:val="single"/>
        </w:rPr>
        <w:fldChar w:fldCharType="begin"/>
      </w:r>
      <w:r w:rsidR="00D1768B" w:rsidRPr="00C33518">
        <w:rPr>
          <w:color w:val="0563C1"/>
          <w:sz w:val="24"/>
          <w:szCs w:val="24"/>
          <w:u w:val="single"/>
        </w:rPr>
        <w:instrText xml:space="preserve"> HYPERLINK "http://https:/leginfo.legislature.ca.gov/faces/codes_displayText.xhtml?lawCode=CONS&amp;division=&amp;title=&amp;part=&amp;chapter=&amp;article=XVI" </w:instrText>
      </w:r>
      <w:r w:rsidR="00D1768B" w:rsidRPr="00C33518">
        <w:rPr>
          <w:color w:val="0563C1"/>
          <w:sz w:val="24"/>
          <w:szCs w:val="24"/>
          <w:u w:val="single"/>
        </w:rPr>
        <w:fldChar w:fldCharType="separate"/>
      </w:r>
      <w:r w:rsidR="00D1768B" w:rsidRPr="00C33518">
        <w:rPr>
          <w:rStyle w:val="Hyperlink"/>
          <w:sz w:val="24"/>
          <w:szCs w:val="24"/>
        </w:rPr>
        <w:t>Sections 1 and 18 of Article XVI of the California Constitution.</w:t>
      </w:r>
    </w:p>
    <w:p w14:paraId="2CC28FFA" w14:textId="77777777" w:rsidR="007F4071" w:rsidRPr="00C33518" w:rsidRDefault="00D1768B" w:rsidP="0094292B">
      <w:pPr>
        <w:numPr>
          <w:ilvl w:val="12"/>
          <w:numId w:val="0"/>
        </w:numPr>
        <w:ind w:left="907" w:hanging="360"/>
        <w:rPr>
          <w:sz w:val="24"/>
          <w:szCs w:val="24"/>
        </w:rPr>
      </w:pPr>
      <w:r w:rsidRPr="00C33518">
        <w:rPr>
          <w:color w:val="0563C1"/>
          <w:sz w:val="24"/>
          <w:szCs w:val="24"/>
          <w:u w:val="single"/>
        </w:rPr>
        <w:fldChar w:fldCharType="end"/>
      </w:r>
    </w:p>
    <w:p w14:paraId="3F1A3101" w14:textId="7A72053E" w:rsidR="007F4071" w:rsidRPr="00C33518" w:rsidRDefault="00C34BAC" w:rsidP="004C4D30">
      <w:pPr>
        <w:ind w:left="900" w:hanging="360"/>
        <w:jc w:val="both"/>
        <w:rPr>
          <w:color w:val="000000"/>
          <w:sz w:val="24"/>
          <w:szCs w:val="24"/>
        </w:rPr>
      </w:pPr>
      <w:r>
        <w:rPr>
          <w:sz w:val="24"/>
          <w:szCs w:val="24"/>
        </w:rPr>
        <w:t xml:space="preserve">B. </w:t>
      </w:r>
      <w:r w:rsidR="00CC38C5">
        <w:rPr>
          <w:sz w:val="24"/>
          <w:szCs w:val="24"/>
        </w:rPr>
        <w:t xml:space="preserve"> </w:t>
      </w:r>
      <w:r w:rsidR="007F4071" w:rsidRPr="00C33518">
        <w:rPr>
          <w:sz w:val="24"/>
          <w:szCs w:val="24"/>
        </w:rPr>
        <w:t xml:space="preserve">All the </w:t>
      </w:r>
      <w:r w:rsidR="002254AD" w:rsidRPr="00C33518">
        <w:rPr>
          <w:sz w:val="24"/>
          <w:szCs w:val="24"/>
        </w:rPr>
        <w:t>B</w:t>
      </w:r>
      <w:r w:rsidR="002B6506" w:rsidRPr="00C33518">
        <w:rPr>
          <w:sz w:val="24"/>
          <w:szCs w:val="24"/>
        </w:rPr>
        <w:t>onds</w:t>
      </w:r>
      <w:r w:rsidR="007F4071" w:rsidRPr="00C33518">
        <w:rPr>
          <w:sz w:val="24"/>
          <w:szCs w:val="24"/>
        </w:rPr>
        <w:t xml:space="preserve"> shall contain on the face thereof a statement to the following effect: “Neither the full faith and credit nor the taxing power of the State of California is pledged to the payment of the principal of,</w:t>
      </w:r>
      <w:r w:rsidR="008150A4" w:rsidRPr="00C33518">
        <w:rPr>
          <w:sz w:val="24"/>
          <w:szCs w:val="24"/>
        </w:rPr>
        <w:t xml:space="preserve"> premium, if any,</w:t>
      </w:r>
      <w:r w:rsidR="007F4071" w:rsidRPr="00C33518">
        <w:rPr>
          <w:sz w:val="24"/>
          <w:szCs w:val="24"/>
        </w:rPr>
        <w:t xml:space="preserve"> or interest on,</w:t>
      </w:r>
      <w:r w:rsidR="00D1768B" w:rsidRPr="00C33518">
        <w:rPr>
          <w:sz w:val="24"/>
          <w:szCs w:val="24"/>
        </w:rPr>
        <w:t xml:space="preserve"> </w:t>
      </w:r>
      <w:r w:rsidR="008150A4" w:rsidRPr="00C33518">
        <w:rPr>
          <w:sz w:val="24"/>
          <w:szCs w:val="24"/>
        </w:rPr>
        <w:t>t</w:t>
      </w:r>
      <w:r w:rsidR="007F4071" w:rsidRPr="00C33518">
        <w:rPr>
          <w:sz w:val="24"/>
          <w:szCs w:val="24"/>
        </w:rPr>
        <w:t>his bond.”</w:t>
      </w:r>
    </w:p>
    <w:p w14:paraId="6AD6BC44" w14:textId="65B0BD66" w:rsidR="007F4071" w:rsidRPr="00C33518" w:rsidRDefault="007F4071" w:rsidP="00C33518">
      <w:pPr>
        <w:rPr>
          <w:sz w:val="24"/>
          <w:szCs w:val="24"/>
        </w:rPr>
      </w:pPr>
    </w:p>
    <w:p w14:paraId="4B0172CA" w14:textId="00A75194" w:rsidR="007F4071" w:rsidRPr="00C33518" w:rsidRDefault="007F4071" w:rsidP="00C33518">
      <w:pPr>
        <w:numPr>
          <w:ilvl w:val="0"/>
          <w:numId w:val="32"/>
        </w:numPr>
        <w:tabs>
          <w:tab w:val="left" w:pos="540"/>
        </w:tabs>
        <w:ind w:left="540" w:hanging="540"/>
        <w:rPr>
          <w:sz w:val="24"/>
          <w:szCs w:val="24"/>
        </w:rPr>
      </w:pPr>
      <w:r w:rsidRPr="00C33518">
        <w:rPr>
          <w:b/>
          <w:sz w:val="24"/>
          <w:szCs w:val="24"/>
          <w:u w:val="single"/>
        </w:rPr>
        <w:t>Bank Indemnity</w:t>
      </w:r>
    </w:p>
    <w:p w14:paraId="119D936A" w14:textId="318FD617" w:rsidR="007F4071" w:rsidRPr="00C33518" w:rsidRDefault="007F4071">
      <w:pPr>
        <w:rPr>
          <w:sz w:val="24"/>
          <w:szCs w:val="24"/>
        </w:rPr>
      </w:pPr>
    </w:p>
    <w:p w14:paraId="652D0FCA" w14:textId="1A922DEB" w:rsidR="007F4071" w:rsidRPr="00C33518" w:rsidRDefault="007F4071" w:rsidP="00786DB8">
      <w:pPr>
        <w:numPr>
          <w:ilvl w:val="0"/>
          <w:numId w:val="33"/>
        </w:numPr>
        <w:jc w:val="both"/>
        <w:rPr>
          <w:color w:val="000000"/>
          <w:sz w:val="24"/>
          <w:szCs w:val="24"/>
        </w:rPr>
      </w:pPr>
      <w:r w:rsidRPr="00C33518">
        <w:rPr>
          <w:sz w:val="24"/>
          <w:szCs w:val="24"/>
        </w:rPr>
        <w:t xml:space="preserve">Each </w:t>
      </w:r>
      <w:r w:rsidR="008C3339" w:rsidRPr="00C33518">
        <w:rPr>
          <w:sz w:val="24"/>
          <w:szCs w:val="24"/>
        </w:rPr>
        <w:t>a</w:t>
      </w:r>
      <w:r w:rsidR="00EE41FF" w:rsidRPr="00C33518">
        <w:rPr>
          <w:sz w:val="24"/>
          <w:szCs w:val="24"/>
        </w:rPr>
        <w:t>pplicant</w:t>
      </w:r>
      <w:r w:rsidRPr="00C33518">
        <w:rPr>
          <w:sz w:val="24"/>
          <w:szCs w:val="24"/>
        </w:rPr>
        <w:t xml:space="preserve"> will be required, as part of bond documentation, to </w:t>
      </w:r>
      <w:r w:rsidR="002502E7" w:rsidRPr="00C33518">
        <w:rPr>
          <w:sz w:val="24"/>
          <w:szCs w:val="24"/>
        </w:rPr>
        <w:t>indemnify and defend</w:t>
      </w:r>
      <w:r w:rsidRPr="00C33518">
        <w:rPr>
          <w:sz w:val="24"/>
          <w:szCs w:val="24"/>
        </w:rPr>
        <w:t xml:space="preserve"> </w:t>
      </w:r>
      <w:r w:rsidR="002044AE" w:rsidRPr="00C33518">
        <w:rPr>
          <w:sz w:val="24"/>
          <w:szCs w:val="24"/>
        </w:rPr>
        <w:t>IBank</w:t>
      </w:r>
      <w:r w:rsidR="00961F41" w:rsidRPr="00C33518">
        <w:rPr>
          <w:sz w:val="24"/>
          <w:szCs w:val="24"/>
        </w:rPr>
        <w:t xml:space="preserve"> and its</w:t>
      </w:r>
      <w:r w:rsidRPr="00C33518">
        <w:rPr>
          <w:sz w:val="24"/>
          <w:szCs w:val="24"/>
        </w:rPr>
        <w:t xml:space="preserve"> members, officers, agents and employees.</w:t>
      </w:r>
    </w:p>
    <w:p w14:paraId="0CC3A0C3" w14:textId="74F847F7" w:rsidR="007F4071" w:rsidRPr="00C33518" w:rsidRDefault="007F4071" w:rsidP="00C33518">
      <w:pPr>
        <w:jc w:val="both"/>
        <w:rPr>
          <w:sz w:val="24"/>
          <w:szCs w:val="24"/>
        </w:rPr>
      </w:pPr>
    </w:p>
    <w:p w14:paraId="47FB0D4A" w14:textId="73EDC663" w:rsidR="007F4071" w:rsidRPr="00C33518" w:rsidRDefault="007F4071" w:rsidP="00C33518">
      <w:pPr>
        <w:numPr>
          <w:ilvl w:val="0"/>
          <w:numId w:val="34"/>
        </w:numPr>
        <w:ind w:left="540" w:hanging="540"/>
        <w:jc w:val="both"/>
        <w:rPr>
          <w:sz w:val="24"/>
          <w:szCs w:val="24"/>
        </w:rPr>
      </w:pPr>
      <w:r w:rsidRPr="00C33518">
        <w:rPr>
          <w:b/>
          <w:sz w:val="24"/>
          <w:szCs w:val="24"/>
          <w:u w:val="single"/>
        </w:rPr>
        <w:t>Other</w:t>
      </w:r>
    </w:p>
    <w:p w14:paraId="0539AF6C" w14:textId="614B31EF" w:rsidR="007F4071" w:rsidRPr="00C33518" w:rsidRDefault="00C34BAC" w:rsidP="00C31BF3">
      <w:pPr>
        <w:jc w:val="both"/>
        <w:rPr>
          <w:b/>
          <w:sz w:val="24"/>
          <w:szCs w:val="24"/>
          <w:u w:val="single"/>
        </w:rPr>
      </w:pPr>
      <w:r>
        <w:rPr>
          <w:sz w:val="24"/>
          <w:szCs w:val="24"/>
        </w:rPr>
        <w:t xml:space="preserve">              </w:t>
      </w:r>
    </w:p>
    <w:p w14:paraId="7D56D3D1" w14:textId="34BB8E29" w:rsidR="00D1768B" w:rsidRPr="00786DB8" w:rsidRDefault="002044AE" w:rsidP="0094292B">
      <w:pPr>
        <w:pStyle w:val="ListParagraph"/>
        <w:numPr>
          <w:ilvl w:val="0"/>
          <w:numId w:val="48"/>
        </w:numPr>
        <w:spacing w:after="0" w:line="240" w:lineRule="auto"/>
        <w:ind w:left="907"/>
        <w:jc w:val="both"/>
        <w:rPr>
          <w:rFonts w:ascii="Times New Roman" w:hAnsi="Times New Roman"/>
          <w:sz w:val="24"/>
          <w:szCs w:val="24"/>
        </w:rPr>
      </w:pPr>
      <w:r w:rsidRPr="00786DB8">
        <w:rPr>
          <w:rFonts w:ascii="Times New Roman" w:hAnsi="Times New Roman"/>
          <w:sz w:val="24"/>
          <w:szCs w:val="24"/>
        </w:rPr>
        <w:t>IBank</w:t>
      </w:r>
      <w:r w:rsidR="00F9760B" w:rsidRPr="00786DB8">
        <w:rPr>
          <w:rFonts w:ascii="Times New Roman" w:hAnsi="Times New Roman"/>
          <w:sz w:val="24"/>
          <w:szCs w:val="24"/>
        </w:rPr>
        <w:t xml:space="preserve"> may</w:t>
      </w:r>
      <w:r w:rsidR="007F4071" w:rsidRPr="00786DB8">
        <w:rPr>
          <w:rFonts w:ascii="Times New Roman" w:hAnsi="Times New Roman"/>
          <w:sz w:val="24"/>
          <w:szCs w:val="24"/>
        </w:rPr>
        <w:t xml:space="preserve"> entertain</w:t>
      </w:r>
      <w:r w:rsidR="00F9760B" w:rsidRPr="00786DB8">
        <w:rPr>
          <w:rFonts w:ascii="Times New Roman" w:hAnsi="Times New Roman"/>
          <w:sz w:val="24"/>
          <w:szCs w:val="24"/>
        </w:rPr>
        <w:t xml:space="preserve"> requests for</w:t>
      </w:r>
      <w:r w:rsidR="007F4071" w:rsidRPr="00786DB8">
        <w:rPr>
          <w:rFonts w:ascii="Times New Roman" w:hAnsi="Times New Roman"/>
          <w:sz w:val="24"/>
          <w:szCs w:val="24"/>
        </w:rPr>
        <w:t xml:space="preserve"> exemptions or waivers to those portions of the</w:t>
      </w:r>
      <w:r w:rsidR="00961F41" w:rsidRPr="00786DB8">
        <w:rPr>
          <w:rFonts w:ascii="Times New Roman" w:hAnsi="Times New Roman"/>
          <w:sz w:val="24"/>
          <w:szCs w:val="24"/>
        </w:rPr>
        <w:t>se</w:t>
      </w:r>
      <w:r w:rsidR="007F4071" w:rsidRPr="00786DB8">
        <w:rPr>
          <w:rFonts w:ascii="Times New Roman" w:hAnsi="Times New Roman"/>
          <w:sz w:val="24"/>
          <w:szCs w:val="24"/>
        </w:rPr>
        <w:t xml:space="preserve"> policies and procedures not required by law. </w:t>
      </w:r>
      <w:r w:rsidR="00F9760B" w:rsidRPr="00786DB8">
        <w:rPr>
          <w:rFonts w:ascii="Times New Roman" w:hAnsi="Times New Roman"/>
          <w:sz w:val="24"/>
          <w:szCs w:val="24"/>
        </w:rPr>
        <w:t>Any such waiver or exemption request</w:t>
      </w:r>
      <w:r w:rsidR="003924B3" w:rsidRPr="00786DB8">
        <w:rPr>
          <w:rFonts w:ascii="Times New Roman" w:hAnsi="Times New Roman"/>
          <w:sz w:val="24"/>
          <w:szCs w:val="24"/>
        </w:rPr>
        <w:t xml:space="preserve"> in regards to deadline compliance,</w:t>
      </w:r>
      <w:r w:rsidR="00F9760B" w:rsidRPr="00786DB8">
        <w:rPr>
          <w:rFonts w:ascii="Times New Roman" w:hAnsi="Times New Roman"/>
          <w:sz w:val="24"/>
          <w:szCs w:val="24"/>
        </w:rPr>
        <w:t xml:space="preserve"> may be granted or denied in the discretion of the Executive Director or his or her designee. </w:t>
      </w:r>
      <w:r w:rsidR="00385474" w:rsidRPr="00786DB8">
        <w:rPr>
          <w:rFonts w:ascii="Times New Roman" w:hAnsi="Times New Roman"/>
          <w:sz w:val="24"/>
          <w:szCs w:val="24"/>
        </w:rPr>
        <w:t xml:space="preserve">Any other waiver or exemption request will be granted or denied in the discretion of the Board. </w:t>
      </w:r>
      <w:r w:rsidR="00F9760B" w:rsidRPr="00786DB8">
        <w:rPr>
          <w:rFonts w:ascii="Times New Roman" w:hAnsi="Times New Roman"/>
          <w:sz w:val="24"/>
          <w:szCs w:val="24"/>
        </w:rPr>
        <w:t>E</w:t>
      </w:r>
      <w:r w:rsidR="007F4071" w:rsidRPr="00786DB8">
        <w:rPr>
          <w:rFonts w:ascii="Times New Roman" w:hAnsi="Times New Roman"/>
          <w:sz w:val="24"/>
          <w:szCs w:val="24"/>
        </w:rPr>
        <w:t xml:space="preserve">xemption or waiver </w:t>
      </w:r>
      <w:r w:rsidR="00F9760B" w:rsidRPr="00786DB8">
        <w:rPr>
          <w:rFonts w:ascii="Times New Roman" w:hAnsi="Times New Roman"/>
          <w:sz w:val="24"/>
          <w:szCs w:val="24"/>
        </w:rPr>
        <w:t>request</w:t>
      </w:r>
      <w:r w:rsidR="00385474" w:rsidRPr="00786DB8">
        <w:rPr>
          <w:rFonts w:ascii="Times New Roman" w:hAnsi="Times New Roman"/>
          <w:sz w:val="24"/>
          <w:szCs w:val="24"/>
        </w:rPr>
        <w:t>s</w:t>
      </w:r>
      <w:r w:rsidR="00F9760B" w:rsidRPr="00786DB8">
        <w:rPr>
          <w:rFonts w:ascii="Times New Roman" w:hAnsi="Times New Roman"/>
          <w:sz w:val="24"/>
          <w:szCs w:val="24"/>
        </w:rPr>
        <w:t xml:space="preserve"> may increase the time required for IBank staff to process the application.</w:t>
      </w:r>
    </w:p>
    <w:p w14:paraId="107D7EA4" w14:textId="77777777" w:rsidR="00786DB8" w:rsidRPr="00786DB8" w:rsidRDefault="00786DB8" w:rsidP="00786DB8">
      <w:pPr>
        <w:jc w:val="both"/>
        <w:rPr>
          <w:sz w:val="24"/>
          <w:szCs w:val="24"/>
        </w:rPr>
      </w:pPr>
    </w:p>
    <w:p w14:paraId="0708E3A1" w14:textId="1CE583EB" w:rsidR="007F4071" w:rsidRDefault="00D1768B" w:rsidP="0094292B">
      <w:pPr>
        <w:ind w:left="907" w:hanging="360"/>
        <w:jc w:val="both"/>
        <w:rPr>
          <w:sz w:val="24"/>
          <w:szCs w:val="24"/>
        </w:rPr>
      </w:pPr>
      <w:r w:rsidRPr="00786DB8">
        <w:rPr>
          <w:sz w:val="24"/>
          <w:szCs w:val="24"/>
        </w:rPr>
        <w:t>B.</w:t>
      </w:r>
      <w:r w:rsidRPr="00786DB8">
        <w:rPr>
          <w:sz w:val="24"/>
          <w:szCs w:val="24"/>
        </w:rPr>
        <w:tab/>
        <w:t xml:space="preserve">Each </w:t>
      </w:r>
      <w:r w:rsidR="00EE41FF" w:rsidRPr="00786DB8">
        <w:rPr>
          <w:sz w:val="24"/>
          <w:szCs w:val="24"/>
        </w:rPr>
        <w:t>applicant</w:t>
      </w:r>
      <w:r w:rsidRPr="00786DB8">
        <w:rPr>
          <w:sz w:val="24"/>
          <w:szCs w:val="24"/>
        </w:rPr>
        <w:t xml:space="preserve"> will be required to follow the </w:t>
      </w:r>
      <w:r w:rsidR="002044AE" w:rsidRPr="00786DB8">
        <w:rPr>
          <w:sz w:val="24"/>
          <w:szCs w:val="24"/>
        </w:rPr>
        <w:t>IBank</w:t>
      </w:r>
      <w:r w:rsidRPr="00786DB8">
        <w:rPr>
          <w:sz w:val="24"/>
          <w:szCs w:val="24"/>
        </w:rPr>
        <w:t>’s Post-Issuance Tax Compliance Policy for Tax-Exempt Bonds (See Appendix A).</w:t>
      </w:r>
    </w:p>
    <w:p w14:paraId="33076AB6" w14:textId="25C13F86" w:rsidR="00C2494E" w:rsidRDefault="00C2494E" w:rsidP="0094292B">
      <w:pPr>
        <w:ind w:left="907" w:hanging="360"/>
        <w:jc w:val="both"/>
        <w:rPr>
          <w:sz w:val="24"/>
          <w:szCs w:val="24"/>
        </w:rPr>
      </w:pPr>
    </w:p>
    <w:p w14:paraId="01AEC48F" w14:textId="4CCD5EC1" w:rsidR="00C2494E" w:rsidRDefault="00C2494E" w:rsidP="0094292B">
      <w:pPr>
        <w:ind w:left="907" w:hanging="360"/>
        <w:jc w:val="both"/>
        <w:rPr>
          <w:sz w:val="24"/>
          <w:szCs w:val="24"/>
        </w:rPr>
      </w:pPr>
    </w:p>
    <w:p w14:paraId="7DB8E1C2" w14:textId="72F2AB19" w:rsidR="00C2494E" w:rsidRDefault="00C2494E" w:rsidP="0094292B">
      <w:pPr>
        <w:ind w:left="907" w:hanging="360"/>
        <w:jc w:val="both"/>
        <w:rPr>
          <w:sz w:val="24"/>
          <w:szCs w:val="24"/>
        </w:rPr>
      </w:pPr>
    </w:p>
    <w:p w14:paraId="629ACCAD" w14:textId="0AB7EF94" w:rsidR="00C2494E" w:rsidRDefault="00C2494E" w:rsidP="0094292B">
      <w:pPr>
        <w:ind w:left="907" w:hanging="360"/>
        <w:jc w:val="both"/>
        <w:rPr>
          <w:sz w:val="24"/>
          <w:szCs w:val="24"/>
        </w:rPr>
      </w:pPr>
    </w:p>
    <w:p w14:paraId="4D6EA914" w14:textId="75D56957" w:rsidR="00C2494E" w:rsidRDefault="00C2494E" w:rsidP="0094292B">
      <w:pPr>
        <w:ind w:left="907" w:hanging="360"/>
        <w:jc w:val="both"/>
        <w:rPr>
          <w:sz w:val="24"/>
          <w:szCs w:val="24"/>
        </w:rPr>
      </w:pPr>
    </w:p>
    <w:p w14:paraId="17372B5D" w14:textId="45C8002F" w:rsidR="00C2494E" w:rsidRDefault="00C2494E" w:rsidP="0094292B">
      <w:pPr>
        <w:ind w:left="907" w:hanging="360"/>
        <w:jc w:val="both"/>
        <w:rPr>
          <w:sz w:val="24"/>
          <w:szCs w:val="24"/>
        </w:rPr>
      </w:pPr>
    </w:p>
    <w:p w14:paraId="24BBF028" w14:textId="4861EDAE" w:rsidR="00C2494E" w:rsidRDefault="00C2494E" w:rsidP="0094292B">
      <w:pPr>
        <w:ind w:left="907" w:hanging="360"/>
        <w:jc w:val="both"/>
        <w:rPr>
          <w:sz w:val="24"/>
          <w:szCs w:val="24"/>
        </w:rPr>
      </w:pPr>
    </w:p>
    <w:p w14:paraId="6FE7FA22" w14:textId="5139DD1E" w:rsidR="00C2494E" w:rsidRDefault="00C2494E" w:rsidP="0094292B">
      <w:pPr>
        <w:ind w:left="907" w:hanging="360"/>
        <w:jc w:val="both"/>
        <w:rPr>
          <w:sz w:val="24"/>
          <w:szCs w:val="24"/>
        </w:rPr>
      </w:pPr>
    </w:p>
    <w:p w14:paraId="33E4AE54" w14:textId="16B71069" w:rsidR="00C2494E" w:rsidRPr="00C2494E" w:rsidRDefault="00C2494E" w:rsidP="00C2494E">
      <w:pPr>
        <w:ind w:left="907" w:hanging="360"/>
        <w:jc w:val="center"/>
        <w:rPr>
          <w:b/>
          <w:sz w:val="28"/>
          <w:szCs w:val="28"/>
        </w:rPr>
      </w:pPr>
      <w:r w:rsidRPr="00C2494E">
        <w:rPr>
          <w:b/>
          <w:sz w:val="28"/>
          <w:szCs w:val="28"/>
        </w:rPr>
        <w:lastRenderedPageBreak/>
        <w:t>Appendix A</w:t>
      </w:r>
    </w:p>
    <w:p w14:paraId="07FD52BB" w14:textId="40CED8B8" w:rsidR="00C2494E" w:rsidRDefault="00C2494E" w:rsidP="00C2494E">
      <w:pPr>
        <w:ind w:left="907" w:hanging="360"/>
        <w:jc w:val="center"/>
        <w:rPr>
          <w:b/>
          <w:sz w:val="24"/>
          <w:szCs w:val="24"/>
        </w:rPr>
      </w:pPr>
    </w:p>
    <w:p w14:paraId="5A5CF3F8" w14:textId="4C188FEB" w:rsidR="00C2494E" w:rsidRDefault="00C2494E" w:rsidP="00C2494E">
      <w:pPr>
        <w:ind w:left="907" w:hanging="360"/>
        <w:jc w:val="center"/>
        <w:rPr>
          <w:b/>
          <w:sz w:val="24"/>
          <w:szCs w:val="24"/>
        </w:rPr>
      </w:pPr>
    </w:p>
    <w:p w14:paraId="65560DA6" w14:textId="77777777" w:rsidR="00C2494E" w:rsidRDefault="00C2494E" w:rsidP="00C2494E">
      <w:pPr>
        <w:ind w:left="907" w:hanging="360"/>
        <w:jc w:val="center"/>
        <w:rPr>
          <w:b/>
          <w:sz w:val="24"/>
          <w:szCs w:val="24"/>
        </w:rPr>
      </w:pPr>
    </w:p>
    <w:p w14:paraId="504B2C55" w14:textId="77777777" w:rsidR="00C2494E" w:rsidRDefault="00C2494E" w:rsidP="00C2494E">
      <w:pPr>
        <w:ind w:left="907" w:hanging="360"/>
        <w:jc w:val="center"/>
        <w:rPr>
          <w:b/>
          <w:sz w:val="28"/>
          <w:szCs w:val="28"/>
        </w:rPr>
      </w:pPr>
      <w:r w:rsidRPr="00C2494E">
        <w:rPr>
          <w:b/>
          <w:sz w:val="28"/>
          <w:szCs w:val="28"/>
        </w:rPr>
        <w:t>Post-Issuance Tax Compliance Policy</w:t>
      </w:r>
    </w:p>
    <w:p w14:paraId="2546C22E" w14:textId="2B33B1AC" w:rsidR="00C2494E" w:rsidRDefault="00C2494E" w:rsidP="00C2494E">
      <w:pPr>
        <w:ind w:left="907" w:hanging="360"/>
        <w:jc w:val="center"/>
        <w:rPr>
          <w:b/>
          <w:sz w:val="28"/>
          <w:szCs w:val="28"/>
        </w:rPr>
      </w:pPr>
      <w:r w:rsidRPr="00C2494E">
        <w:rPr>
          <w:b/>
          <w:sz w:val="28"/>
          <w:szCs w:val="28"/>
        </w:rPr>
        <w:t xml:space="preserve"> </w:t>
      </w:r>
      <w:r w:rsidR="002D3B98" w:rsidRPr="00C2494E">
        <w:rPr>
          <w:b/>
          <w:sz w:val="28"/>
          <w:szCs w:val="28"/>
        </w:rPr>
        <w:t>For</w:t>
      </w:r>
      <w:r w:rsidRPr="00C2494E">
        <w:rPr>
          <w:b/>
          <w:sz w:val="28"/>
          <w:szCs w:val="28"/>
        </w:rPr>
        <w:t xml:space="preserve"> </w:t>
      </w:r>
    </w:p>
    <w:p w14:paraId="0F74CB3A" w14:textId="34E3E14B" w:rsidR="00C2494E" w:rsidRDefault="00C2494E" w:rsidP="00C2494E">
      <w:pPr>
        <w:ind w:left="907" w:hanging="360"/>
        <w:jc w:val="center"/>
        <w:rPr>
          <w:b/>
          <w:sz w:val="28"/>
          <w:szCs w:val="28"/>
        </w:rPr>
      </w:pPr>
      <w:r w:rsidRPr="00C2494E">
        <w:rPr>
          <w:b/>
          <w:sz w:val="28"/>
          <w:szCs w:val="28"/>
        </w:rPr>
        <w:t>Tax-Exempt Bonds</w:t>
      </w:r>
    </w:p>
    <w:p w14:paraId="75139EBE" w14:textId="0AEA4014" w:rsidR="00C2494E" w:rsidRDefault="00C2494E" w:rsidP="00C2494E">
      <w:pPr>
        <w:ind w:left="907" w:hanging="360"/>
        <w:jc w:val="center"/>
        <w:rPr>
          <w:b/>
          <w:sz w:val="28"/>
          <w:szCs w:val="28"/>
        </w:rPr>
      </w:pPr>
    </w:p>
    <w:p w14:paraId="69CD23D7" w14:textId="77777777" w:rsidR="00C2494E" w:rsidRDefault="00C2494E" w:rsidP="00C2494E">
      <w:pPr>
        <w:rPr>
          <w:b/>
          <w:sz w:val="28"/>
          <w:szCs w:val="28"/>
        </w:rPr>
      </w:pPr>
    </w:p>
    <w:p w14:paraId="5BB336C7" w14:textId="197C5028" w:rsidR="00C2494E" w:rsidRPr="00C2494E" w:rsidRDefault="00C2494E" w:rsidP="00C2494E">
      <w:pPr>
        <w:ind w:left="907" w:hanging="360"/>
        <w:jc w:val="center"/>
        <w:rPr>
          <w:b/>
          <w:sz w:val="24"/>
          <w:szCs w:val="24"/>
        </w:rPr>
      </w:pPr>
      <w:r w:rsidRPr="00C2494E">
        <w:rPr>
          <w:b/>
          <w:sz w:val="24"/>
          <w:szCs w:val="24"/>
        </w:rPr>
        <w:t>Dated October 9, 2012</w:t>
      </w:r>
    </w:p>
    <w:sectPr w:rsidR="00C2494E" w:rsidRPr="00C2494E" w:rsidSect="00305619">
      <w:headerReference w:type="default" r:id="rId24"/>
      <w:footerReference w:type="default" r:id="rId25"/>
      <w:footerReference w:type="first" r:id="rId26"/>
      <w:pgSz w:w="12240" w:h="15840" w:code="1"/>
      <w:pgMar w:top="1440" w:right="1440" w:bottom="1440" w:left="1440"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A8887" w14:textId="77777777" w:rsidR="00536250" w:rsidRDefault="00536250" w:rsidP="002B5FD8">
      <w:r>
        <w:separator/>
      </w:r>
    </w:p>
    <w:p w14:paraId="4E2B034E" w14:textId="77777777" w:rsidR="00536250" w:rsidRDefault="00536250"/>
  </w:endnote>
  <w:endnote w:type="continuationSeparator" w:id="0">
    <w:p w14:paraId="321CA21E" w14:textId="77777777" w:rsidR="00536250" w:rsidRDefault="00536250" w:rsidP="002B5FD8">
      <w:r>
        <w:continuationSeparator/>
      </w:r>
    </w:p>
    <w:p w14:paraId="540394C5" w14:textId="77777777" w:rsidR="00536250" w:rsidRDefault="00536250"/>
  </w:endnote>
  <w:endnote w:type="continuationNotice" w:id="1">
    <w:p w14:paraId="17CD624B" w14:textId="77777777" w:rsidR="00536250" w:rsidRDefault="00536250" w:rsidP="002B5FD8"/>
    <w:p w14:paraId="78814A43" w14:textId="77777777" w:rsidR="00536250" w:rsidRDefault="00536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608B" w14:textId="398A9803" w:rsidR="00536250" w:rsidRDefault="00536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15E">
      <w:rPr>
        <w:rStyle w:val="PageNumber"/>
        <w:noProof/>
      </w:rPr>
      <w:t>6</w:t>
    </w:r>
    <w:r>
      <w:rPr>
        <w:rStyle w:val="PageNumber"/>
      </w:rPr>
      <w:fldChar w:fldCharType="end"/>
    </w:r>
  </w:p>
  <w:p w14:paraId="72BC9DEB" w14:textId="2D28BA83" w:rsidR="00536250" w:rsidRPr="00CF161C" w:rsidRDefault="00536250" w:rsidP="00CF161C">
    <w:pPr>
      <w:pStyle w:val="Footer"/>
      <w:rPr>
        <w:i/>
      </w:rPr>
    </w:pPr>
    <w:r w:rsidRPr="002B5FD8">
      <w:rPr>
        <w:i/>
      </w:rPr>
      <w:t xml:space="preserve">Updated </w:t>
    </w:r>
    <w:r>
      <w:rPr>
        <w:i/>
      </w:rPr>
      <w:t>February</w:t>
    </w:r>
    <w:r w:rsidRPr="002B5FD8">
      <w:rPr>
        <w:i/>
      </w:rPr>
      <w:t xml:space="preserve"> 24, </w:t>
    </w:r>
    <w:r>
      <w:rPr>
        <w:i/>
      </w:rPr>
      <w:t>2021</w:t>
    </w:r>
  </w:p>
  <w:p w14:paraId="49033004" w14:textId="0E87F2AF" w:rsidR="00536250" w:rsidRDefault="00536250" w:rsidP="00CF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1D32" w14:textId="314230C6" w:rsidR="00536250" w:rsidRPr="00786DB8" w:rsidRDefault="00536250" w:rsidP="00786DB8">
    <w:pPr>
      <w:pStyle w:val="Footer"/>
      <w:rPr>
        <w:i/>
      </w:rPr>
    </w:pPr>
    <w:r w:rsidRPr="002B5FD8">
      <w:rPr>
        <w:i/>
      </w:rPr>
      <w:t>Updated August 24,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BC00A" w14:textId="77777777" w:rsidR="00536250" w:rsidRDefault="00536250" w:rsidP="002B5FD8">
      <w:r>
        <w:separator/>
      </w:r>
    </w:p>
    <w:p w14:paraId="37878525" w14:textId="77777777" w:rsidR="00536250" w:rsidRDefault="00536250"/>
  </w:footnote>
  <w:footnote w:type="continuationSeparator" w:id="0">
    <w:p w14:paraId="01530250" w14:textId="77777777" w:rsidR="00536250" w:rsidRDefault="00536250" w:rsidP="002B5FD8">
      <w:r>
        <w:continuationSeparator/>
      </w:r>
    </w:p>
    <w:p w14:paraId="0B3EAE4F" w14:textId="77777777" w:rsidR="00536250" w:rsidRDefault="00536250"/>
  </w:footnote>
  <w:footnote w:type="continuationNotice" w:id="1">
    <w:p w14:paraId="4DA428DD" w14:textId="77777777" w:rsidR="00536250" w:rsidRDefault="00536250" w:rsidP="002B5FD8"/>
    <w:p w14:paraId="409B2E13" w14:textId="77777777" w:rsidR="00536250" w:rsidRDefault="005362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3DC6" w14:textId="77777777" w:rsidR="00536250" w:rsidRDefault="00536250" w:rsidP="003301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AF0"/>
    <w:multiLevelType w:val="hybridMultilevel"/>
    <w:tmpl w:val="42C25F84"/>
    <w:lvl w:ilvl="0" w:tplc="E8DCF7BE">
      <w:start w:val="1"/>
      <w:numFmt w:val="upp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8FA1A">
      <w:start w:val="1"/>
      <w:numFmt w:val="decimal"/>
      <w:lvlText w:val="%2."/>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A16A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482E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2E5C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6DCD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E13D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E801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84A8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0F28A8"/>
    <w:multiLevelType w:val="singleLevel"/>
    <w:tmpl w:val="9F26FB62"/>
    <w:lvl w:ilvl="0">
      <w:start w:val="1"/>
      <w:numFmt w:val="upperLetter"/>
      <w:lvlText w:val="%1."/>
      <w:lvlJc w:val="left"/>
      <w:pPr>
        <w:ind w:left="900" w:hanging="360"/>
      </w:pPr>
      <w:rPr>
        <w:rFonts w:ascii="Times New Roman" w:eastAsia="Times New Roman" w:hAnsi="Times New Roman" w:cs="Times New Roman"/>
        <w:strike w:val="0"/>
        <w:dstrike w:val="0"/>
      </w:rPr>
    </w:lvl>
  </w:abstractNum>
  <w:abstractNum w:abstractNumId="2" w15:restartNumberingAfterBreak="0">
    <w:nsid w:val="0B0F7637"/>
    <w:multiLevelType w:val="singleLevel"/>
    <w:tmpl w:val="EA00C0E4"/>
    <w:lvl w:ilvl="0">
      <w:start w:val="7"/>
      <w:numFmt w:val="upperRoman"/>
      <w:lvlText w:val="%1."/>
      <w:legacy w:legacy="1" w:legacySpace="0" w:legacyIndent="360"/>
      <w:lvlJc w:val="left"/>
      <w:pPr>
        <w:ind w:left="360" w:hanging="360"/>
      </w:pPr>
    </w:lvl>
  </w:abstractNum>
  <w:abstractNum w:abstractNumId="3" w15:restartNumberingAfterBreak="0">
    <w:nsid w:val="0C543055"/>
    <w:multiLevelType w:val="singleLevel"/>
    <w:tmpl w:val="B8A4DE72"/>
    <w:lvl w:ilvl="0">
      <w:start w:val="1"/>
      <w:numFmt w:val="upperLetter"/>
      <w:lvlText w:val="%1."/>
      <w:legacy w:legacy="1" w:legacySpace="0" w:legacyIndent="360"/>
      <w:lvlJc w:val="left"/>
      <w:pPr>
        <w:ind w:left="900" w:hanging="360"/>
      </w:pPr>
    </w:lvl>
  </w:abstractNum>
  <w:abstractNum w:abstractNumId="4" w15:restartNumberingAfterBreak="0">
    <w:nsid w:val="11383DBA"/>
    <w:multiLevelType w:val="singleLevel"/>
    <w:tmpl w:val="E808059A"/>
    <w:lvl w:ilvl="0">
      <w:start w:val="1"/>
      <w:numFmt w:val="upperLetter"/>
      <w:lvlText w:val="%1."/>
      <w:legacy w:legacy="1" w:legacySpace="0" w:legacyIndent="360"/>
      <w:lvlJc w:val="left"/>
      <w:pPr>
        <w:ind w:left="900" w:hanging="360"/>
      </w:pPr>
    </w:lvl>
  </w:abstractNum>
  <w:abstractNum w:abstractNumId="5" w15:restartNumberingAfterBreak="0">
    <w:nsid w:val="182579B8"/>
    <w:multiLevelType w:val="singleLevel"/>
    <w:tmpl w:val="C8865F48"/>
    <w:lvl w:ilvl="0">
      <w:start w:val="1"/>
      <w:numFmt w:val="decimal"/>
      <w:lvlText w:val="%1."/>
      <w:legacy w:legacy="1" w:legacySpace="0" w:legacyIndent="360"/>
      <w:lvlJc w:val="left"/>
      <w:pPr>
        <w:ind w:left="1260" w:hanging="360"/>
      </w:pPr>
    </w:lvl>
  </w:abstractNum>
  <w:abstractNum w:abstractNumId="6" w15:restartNumberingAfterBreak="0">
    <w:nsid w:val="1D046744"/>
    <w:multiLevelType w:val="singleLevel"/>
    <w:tmpl w:val="6976507C"/>
    <w:lvl w:ilvl="0">
      <w:start w:val="1"/>
      <w:numFmt w:val="decimal"/>
      <w:lvlText w:val="%1."/>
      <w:legacy w:legacy="1" w:legacySpace="0" w:legacyIndent="360"/>
      <w:lvlJc w:val="left"/>
      <w:pPr>
        <w:ind w:left="1620" w:hanging="360"/>
      </w:pPr>
      <w:rPr>
        <w:rFonts w:ascii="Times New Roman" w:eastAsia="Times New Roman" w:hAnsi="Times New Roman" w:cs="Times New Roman"/>
      </w:rPr>
    </w:lvl>
  </w:abstractNum>
  <w:abstractNum w:abstractNumId="7" w15:restartNumberingAfterBreak="0">
    <w:nsid w:val="1EB24DCC"/>
    <w:multiLevelType w:val="singleLevel"/>
    <w:tmpl w:val="97F2B9AA"/>
    <w:lvl w:ilvl="0">
      <w:start w:val="11"/>
      <w:numFmt w:val="upperRoman"/>
      <w:lvlText w:val="%1."/>
      <w:legacy w:legacy="1" w:legacySpace="0" w:legacyIndent="360"/>
      <w:lvlJc w:val="left"/>
      <w:pPr>
        <w:ind w:left="360" w:hanging="360"/>
      </w:pPr>
    </w:lvl>
  </w:abstractNum>
  <w:abstractNum w:abstractNumId="8" w15:restartNumberingAfterBreak="0">
    <w:nsid w:val="1EEC6CFB"/>
    <w:multiLevelType w:val="singleLevel"/>
    <w:tmpl w:val="D46CD980"/>
    <w:lvl w:ilvl="0">
      <w:start w:val="2"/>
      <w:numFmt w:val="upperLetter"/>
      <w:lvlText w:val="%1."/>
      <w:legacy w:legacy="1" w:legacySpace="0" w:legacyIndent="360"/>
      <w:lvlJc w:val="left"/>
      <w:pPr>
        <w:ind w:left="900" w:hanging="360"/>
      </w:pPr>
    </w:lvl>
  </w:abstractNum>
  <w:abstractNum w:abstractNumId="9" w15:restartNumberingAfterBreak="0">
    <w:nsid w:val="202C7A5A"/>
    <w:multiLevelType w:val="hybridMultilevel"/>
    <w:tmpl w:val="809EBF9E"/>
    <w:lvl w:ilvl="0" w:tplc="48D4443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C257B0"/>
    <w:multiLevelType w:val="singleLevel"/>
    <w:tmpl w:val="67BAD9CC"/>
    <w:lvl w:ilvl="0">
      <w:start w:val="1"/>
      <w:numFmt w:val="upperRoman"/>
      <w:lvlText w:val="%1."/>
      <w:legacy w:legacy="1" w:legacySpace="0" w:legacyIndent="360"/>
      <w:lvlJc w:val="left"/>
      <w:pPr>
        <w:ind w:left="360" w:hanging="360"/>
      </w:pPr>
    </w:lvl>
  </w:abstractNum>
  <w:abstractNum w:abstractNumId="11" w15:restartNumberingAfterBreak="0">
    <w:nsid w:val="222519DB"/>
    <w:multiLevelType w:val="hybridMultilevel"/>
    <w:tmpl w:val="55D2E514"/>
    <w:lvl w:ilvl="0" w:tplc="E202F258">
      <w:start w:val="1"/>
      <w:numFmt w:val="upp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6F8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CBA0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8AAA1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4234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45C6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8A63A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67DC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0466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CA79E0"/>
    <w:multiLevelType w:val="singleLevel"/>
    <w:tmpl w:val="E808059A"/>
    <w:lvl w:ilvl="0">
      <w:start w:val="1"/>
      <w:numFmt w:val="upperLetter"/>
      <w:lvlText w:val="%1."/>
      <w:legacy w:legacy="1" w:legacySpace="0" w:legacyIndent="360"/>
      <w:lvlJc w:val="left"/>
      <w:pPr>
        <w:ind w:left="900" w:hanging="360"/>
      </w:pPr>
    </w:lvl>
  </w:abstractNum>
  <w:abstractNum w:abstractNumId="13" w15:restartNumberingAfterBreak="0">
    <w:nsid w:val="26D27862"/>
    <w:multiLevelType w:val="singleLevel"/>
    <w:tmpl w:val="E808059A"/>
    <w:lvl w:ilvl="0">
      <w:start w:val="1"/>
      <w:numFmt w:val="upperLetter"/>
      <w:lvlText w:val="%1."/>
      <w:legacy w:legacy="1" w:legacySpace="0" w:legacyIndent="360"/>
      <w:lvlJc w:val="left"/>
      <w:pPr>
        <w:ind w:left="900" w:hanging="360"/>
      </w:pPr>
    </w:lvl>
  </w:abstractNum>
  <w:abstractNum w:abstractNumId="14" w15:restartNumberingAfterBreak="0">
    <w:nsid w:val="28DB2460"/>
    <w:multiLevelType w:val="singleLevel"/>
    <w:tmpl w:val="62B8879A"/>
    <w:lvl w:ilvl="0">
      <w:start w:val="9"/>
      <w:numFmt w:val="upperRoman"/>
      <w:lvlText w:val="%1."/>
      <w:legacy w:legacy="1" w:legacySpace="0" w:legacyIndent="360"/>
      <w:lvlJc w:val="left"/>
      <w:pPr>
        <w:ind w:left="360" w:hanging="360"/>
      </w:pPr>
    </w:lvl>
  </w:abstractNum>
  <w:abstractNum w:abstractNumId="15" w15:restartNumberingAfterBreak="0">
    <w:nsid w:val="29BA7583"/>
    <w:multiLevelType w:val="singleLevel"/>
    <w:tmpl w:val="E808059A"/>
    <w:lvl w:ilvl="0">
      <w:start w:val="1"/>
      <w:numFmt w:val="upperLetter"/>
      <w:lvlText w:val="%1."/>
      <w:legacy w:legacy="1" w:legacySpace="0" w:legacyIndent="360"/>
      <w:lvlJc w:val="left"/>
      <w:pPr>
        <w:ind w:left="900" w:hanging="360"/>
      </w:pPr>
    </w:lvl>
  </w:abstractNum>
  <w:abstractNum w:abstractNumId="16" w15:restartNumberingAfterBreak="0">
    <w:nsid w:val="2D7804BE"/>
    <w:multiLevelType w:val="hybridMultilevel"/>
    <w:tmpl w:val="40E63D7A"/>
    <w:lvl w:ilvl="0" w:tplc="C2C452B4">
      <w:start w:val="1"/>
      <w:numFmt w:val="upperLetter"/>
      <w:lvlText w:val="%1."/>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6FA88">
      <w:start w:val="1"/>
      <w:numFmt w:val="decimal"/>
      <w:lvlText w:val="%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C4CB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670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4D77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6CBD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A31D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8534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8C6B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D6280B"/>
    <w:multiLevelType w:val="singleLevel"/>
    <w:tmpl w:val="E808059A"/>
    <w:lvl w:ilvl="0">
      <w:start w:val="1"/>
      <w:numFmt w:val="upperLetter"/>
      <w:lvlText w:val="%1."/>
      <w:legacy w:legacy="1" w:legacySpace="0" w:legacyIndent="360"/>
      <w:lvlJc w:val="left"/>
      <w:pPr>
        <w:ind w:left="900" w:hanging="360"/>
      </w:pPr>
    </w:lvl>
  </w:abstractNum>
  <w:abstractNum w:abstractNumId="18" w15:restartNumberingAfterBreak="0">
    <w:nsid w:val="355C4810"/>
    <w:multiLevelType w:val="hybridMultilevel"/>
    <w:tmpl w:val="5D74C2E0"/>
    <w:lvl w:ilvl="0" w:tplc="D9763A5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593760F"/>
    <w:multiLevelType w:val="hybridMultilevel"/>
    <w:tmpl w:val="561AB1B8"/>
    <w:lvl w:ilvl="0" w:tplc="04090015">
      <w:start w:val="1"/>
      <w:numFmt w:val="upperLetter"/>
      <w:lvlText w:val="%1."/>
      <w:lvlJc w:val="left"/>
      <w:pPr>
        <w:ind w:left="540"/>
      </w:pPr>
      <w:rPr>
        <w:b w:val="0"/>
        <w:i w:val="0"/>
        <w:strike w:val="0"/>
        <w:dstrike w:val="0"/>
        <w:color w:val="000000"/>
        <w:sz w:val="24"/>
        <w:szCs w:val="24"/>
        <w:u w:val="none" w:color="000000"/>
        <w:bdr w:val="none" w:sz="0" w:space="0" w:color="auto"/>
        <w:shd w:val="clear" w:color="auto" w:fill="auto"/>
        <w:vertAlign w:val="baseline"/>
      </w:rPr>
    </w:lvl>
    <w:lvl w:ilvl="1" w:tplc="1D605F6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46E4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4BC0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40952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E575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68AE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C434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46E6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105B62"/>
    <w:multiLevelType w:val="singleLevel"/>
    <w:tmpl w:val="0C208848"/>
    <w:lvl w:ilvl="0">
      <w:start w:val="3"/>
      <w:numFmt w:val="upperLetter"/>
      <w:lvlText w:val="%1."/>
      <w:legacy w:legacy="1" w:legacySpace="0" w:legacyIndent="360"/>
      <w:lvlJc w:val="left"/>
      <w:pPr>
        <w:ind w:left="900" w:hanging="360"/>
      </w:pPr>
    </w:lvl>
  </w:abstractNum>
  <w:abstractNum w:abstractNumId="21" w15:restartNumberingAfterBreak="0">
    <w:nsid w:val="3C5424C6"/>
    <w:multiLevelType w:val="singleLevel"/>
    <w:tmpl w:val="D46CD980"/>
    <w:lvl w:ilvl="0">
      <w:start w:val="2"/>
      <w:numFmt w:val="upperLetter"/>
      <w:lvlText w:val="%1."/>
      <w:legacy w:legacy="1" w:legacySpace="0" w:legacyIndent="360"/>
      <w:lvlJc w:val="left"/>
      <w:pPr>
        <w:ind w:left="900" w:hanging="360"/>
      </w:pPr>
    </w:lvl>
  </w:abstractNum>
  <w:abstractNum w:abstractNumId="22" w15:restartNumberingAfterBreak="0">
    <w:nsid w:val="3F044043"/>
    <w:multiLevelType w:val="hybridMultilevel"/>
    <w:tmpl w:val="09509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83030"/>
    <w:multiLevelType w:val="hybridMultilevel"/>
    <w:tmpl w:val="23363C62"/>
    <w:lvl w:ilvl="0" w:tplc="AE0C9C6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6306B72"/>
    <w:multiLevelType w:val="singleLevel"/>
    <w:tmpl w:val="931AE088"/>
    <w:lvl w:ilvl="0">
      <w:start w:val="5"/>
      <w:numFmt w:val="upperRoman"/>
      <w:lvlText w:val="%1."/>
      <w:legacy w:legacy="1" w:legacySpace="0" w:legacyIndent="360"/>
      <w:lvlJc w:val="left"/>
      <w:pPr>
        <w:ind w:left="360" w:hanging="360"/>
      </w:pPr>
    </w:lvl>
  </w:abstractNum>
  <w:abstractNum w:abstractNumId="25" w15:restartNumberingAfterBreak="0">
    <w:nsid w:val="46A27AA1"/>
    <w:multiLevelType w:val="singleLevel"/>
    <w:tmpl w:val="8CDC6942"/>
    <w:lvl w:ilvl="0">
      <w:start w:val="10"/>
      <w:numFmt w:val="upperRoman"/>
      <w:lvlText w:val="%1."/>
      <w:legacy w:legacy="1" w:legacySpace="0" w:legacyIndent="360"/>
      <w:lvlJc w:val="left"/>
      <w:pPr>
        <w:ind w:left="360" w:hanging="360"/>
      </w:pPr>
    </w:lvl>
  </w:abstractNum>
  <w:abstractNum w:abstractNumId="26" w15:restartNumberingAfterBreak="0">
    <w:nsid w:val="46A73C1B"/>
    <w:multiLevelType w:val="singleLevel"/>
    <w:tmpl w:val="C8865F48"/>
    <w:lvl w:ilvl="0">
      <w:start w:val="1"/>
      <w:numFmt w:val="decimal"/>
      <w:lvlText w:val="%1."/>
      <w:legacy w:legacy="1" w:legacySpace="0" w:legacyIndent="360"/>
      <w:lvlJc w:val="left"/>
      <w:pPr>
        <w:ind w:left="1260" w:hanging="360"/>
      </w:pPr>
    </w:lvl>
  </w:abstractNum>
  <w:abstractNum w:abstractNumId="27" w15:restartNumberingAfterBreak="0">
    <w:nsid w:val="4822039F"/>
    <w:multiLevelType w:val="singleLevel"/>
    <w:tmpl w:val="C8865F48"/>
    <w:lvl w:ilvl="0">
      <w:start w:val="1"/>
      <w:numFmt w:val="decimal"/>
      <w:lvlText w:val="%1."/>
      <w:legacy w:legacy="1" w:legacySpace="0" w:legacyIndent="360"/>
      <w:lvlJc w:val="left"/>
      <w:pPr>
        <w:ind w:left="1260" w:hanging="360"/>
      </w:pPr>
    </w:lvl>
  </w:abstractNum>
  <w:abstractNum w:abstractNumId="28" w15:restartNumberingAfterBreak="0">
    <w:nsid w:val="4C49461C"/>
    <w:multiLevelType w:val="hybridMultilevel"/>
    <w:tmpl w:val="D68A1678"/>
    <w:lvl w:ilvl="0" w:tplc="B6708DE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F790E6F"/>
    <w:multiLevelType w:val="hybridMultilevel"/>
    <w:tmpl w:val="D262B452"/>
    <w:lvl w:ilvl="0" w:tplc="2C703AE0">
      <w:start w:val="1"/>
      <w:numFmt w:val="upp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0D2F8">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3A94D8">
      <w:start w:val="1"/>
      <w:numFmt w:val="lowerLetter"/>
      <w:lvlText w:val="%3."/>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4CA6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0151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227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24BA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C4D7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64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5C5C40"/>
    <w:multiLevelType w:val="singleLevel"/>
    <w:tmpl w:val="D16007C6"/>
    <w:lvl w:ilvl="0">
      <w:start w:val="1"/>
      <w:numFmt w:val="upperLetter"/>
      <w:lvlText w:val="%1."/>
      <w:legacy w:legacy="1" w:legacySpace="0" w:legacyIndent="360"/>
      <w:lvlJc w:val="left"/>
      <w:pPr>
        <w:ind w:left="900" w:hanging="360"/>
      </w:pPr>
      <w:rPr>
        <w:color w:val="auto"/>
      </w:rPr>
    </w:lvl>
  </w:abstractNum>
  <w:abstractNum w:abstractNumId="31" w15:restartNumberingAfterBreak="0">
    <w:nsid w:val="527A47E2"/>
    <w:multiLevelType w:val="singleLevel"/>
    <w:tmpl w:val="E808059A"/>
    <w:lvl w:ilvl="0">
      <w:start w:val="1"/>
      <w:numFmt w:val="upperLetter"/>
      <w:lvlText w:val="%1."/>
      <w:legacy w:legacy="1" w:legacySpace="0" w:legacyIndent="360"/>
      <w:lvlJc w:val="left"/>
      <w:pPr>
        <w:ind w:left="900" w:hanging="360"/>
      </w:pPr>
    </w:lvl>
  </w:abstractNum>
  <w:abstractNum w:abstractNumId="32" w15:restartNumberingAfterBreak="0">
    <w:nsid w:val="52F3075A"/>
    <w:multiLevelType w:val="singleLevel"/>
    <w:tmpl w:val="8AD8F614"/>
    <w:lvl w:ilvl="0">
      <w:start w:val="2"/>
      <w:numFmt w:val="upperRoman"/>
      <w:lvlText w:val="%1."/>
      <w:legacy w:legacy="1" w:legacySpace="0" w:legacyIndent="360"/>
      <w:lvlJc w:val="left"/>
      <w:pPr>
        <w:ind w:left="360" w:hanging="360"/>
      </w:pPr>
    </w:lvl>
  </w:abstractNum>
  <w:abstractNum w:abstractNumId="33" w15:restartNumberingAfterBreak="0">
    <w:nsid w:val="53E8281F"/>
    <w:multiLevelType w:val="singleLevel"/>
    <w:tmpl w:val="E808059A"/>
    <w:lvl w:ilvl="0">
      <w:start w:val="1"/>
      <w:numFmt w:val="upperLetter"/>
      <w:lvlText w:val="%1."/>
      <w:legacy w:legacy="1" w:legacySpace="0" w:legacyIndent="360"/>
      <w:lvlJc w:val="left"/>
      <w:pPr>
        <w:ind w:left="900" w:hanging="360"/>
      </w:pPr>
    </w:lvl>
  </w:abstractNum>
  <w:abstractNum w:abstractNumId="34" w15:restartNumberingAfterBreak="0">
    <w:nsid w:val="56426C1E"/>
    <w:multiLevelType w:val="hybridMultilevel"/>
    <w:tmpl w:val="F49ED28E"/>
    <w:lvl w:ilvl="0" w:tplc="300A7C52">
      <w:start w:val="2"/>
      <w:numFmt w:val="upp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EC3C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0FF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56AEA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C034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0F07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A4BE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4E81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83E2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F85D67"/>
    <w:multiLevelType w:val="singleLevel"/>
    <w:tmpl w:val="0DC8063E"/>
    <w:lvl w:ilvl="0">
      <w:start w:val="4"/>
      <w:numFmt w:val="upperRoman"/>
      <w:lvlText w:val="%1."/>
      <w:legacy w:legacy="1" w:legacySpace="0" w:legacyIndent="360"/>
      <w:lvlJc w:val="left"/>
      <w:pPr>
        <w:ind w:left="360" w:hanging="360"/>
      </w:pPr>
    </w:lvl>
  </w:abstractNum>
  <w:abstractNum w:abstractNumId="36" w15:restartNumberingAfterBreak="0">
    <w:nsid w:val="5FB73CC0"/>
    <w:multiLevelType w:val="singleLevel"/>
    <w:tmpl w:val="0C208848"/>
    <w:lvl w:ilvl="0">
      <w:start w:val="3"/>
      <w:numFmt w:val="upperLetter"/>
      <w:lvlText w:val="%1."/>
      <w:legacy w:legacy="1" w:legacySpace="0" w:legacyIndent="360"/>
      <w:lvlJc w:val="left"/>
      <w:pPr>
        <w:ind w:left="900" w:hanging="360"/>
      </w:pPr>
    </w:lvl>
  </w:abstractNum>
  <w:abstractNum w:abstractNumId="37" w15:restartNumberingAfterBreak="0">
    <w:nsid w:val="61BE7D72"/>
    <w:multiLevelType w:val="singleLevel"/>
    <w:tmpl w:val="C8865F48"/>
    <w:lvl w:ilvl="0">
      <w:start w:val="1"/>
      <w:numFmt w:val="decimal"/>
      <w:lvlText w:val="%1."/>
      <w:legacy w:legacy="1" w:legacySpace="0" w:legacyIndent="360"/>
      <w:lvlJc w:val="left"/>
      <w:pPr>
        <w:ind w:left="1260" w:hanging="360"/>
      </w:pPr>
    </w:lvl>
  </w:abstractNum>
  <w:abstractNum w:abstractNumId="38" w15:restartNumberingAfterBreak="0">
    <w:nsid w:val="64C8225A"/>
    <w:multiLevelType w:val="singleLevel"/>
    <w:tmpl w:val="223A5ACA"/>
    <w:lvl w:ilvl="0">
      <w:start w:val="3"/>
      <w:numFmt w:val="upperRoman"/>
      <w:lvlText w:val="%1."/>
      <w:legacy w:legacy="1" w:legacySpace="0" w:legacyIndent="360"/>
      <w:lvlJc w:val="left"/>
      <w:pPr>
        <w:ind w:left="360" w:hanging="360"/>
      </w:pPr>
    </w:lvl>
  </w:abstractNum>
  <w:abstractNum w:abstractNumId="39" w15:restartNumberingAfterBreak="0">
    <w:nsid w:val="69BC0D96"/>
    <w:multiLevelType w:val="hybridMultilevel"/>
    <w:tmpl w:val="D892FAF6"/>
    <w:lvl w:ilvl="0" w:tplc="4238B632">
      <w:start w:val="1"/>
      <w:numFmt w:val="upp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E1FD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435B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76E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28A9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8B91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ED7A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4D39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0E3D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233341"/>
    <w:multiLevelType w:val="hybridMultilevel"/>
    <w:tmpl w:val="1B90EC62"/>
    <w:lvl w:ilvl="0" w:tplc="F996A748">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0E4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254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23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49E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C17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848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0E3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A75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3125D1"/>
    <w:multiLevelType w:val="singleLevel"/>
    <w:tmpl w:val="E808059A"/>
    <w:lvl w:ilvl="0">
      <w:start w:val="1"/>
      <w:numFmt w:val="upperLetter"/>
      <w:lvlText w:val="%1."/>
      <w:legacy w:legacy="1" w:legacySpace="0" w:legacyIndent="360"/>
      <w:lvlJc w:val="left"/>
      <w:pPr>
        <w:ind w:left="900" w:hanging="360"/>
      </w:pPr>
    </w:lvl>
  </w:abstractNum>
  <w:abstractNum w:abstractNumId="42" w15:restartNumberingAfterBreak="0">
    <w:nsid w:val="71D7138E"/>
    <w:multiLevelType w:val="singleLevel"/>
    <w:tmpl w:val="CE9A8082"/>
    <w:lvl w:ilvl="0">
      <w:start w:val="6"/>
      <w:numFmt w:val="upperRoman"/>
      <w:lvlText w:val="%1."/>
      <w:legacy w:legacy="1" w:legacySpace="0" w:legacyIndent="360"/>
      <w:lvlJc w:val="left"/>
      <w:pPr>
        <w:ind w:left="360" w:hanging="360"/>
      </w:pPr>
    </w:lvl>
  </w:abstractNum>
  <w:abstractNum w:abstractNumId="43" w15:restartNumberingAfterBreak="0">
    <w:nsid w:val="729C2329"/>
    <w:multiLevelType w:val="singleLevel"/>
    <w:tmpl w:val="45BA3E50"/>
    <w:lvl w:ilvl="0">
      <w:start w:val="8"/>
      <w:numFmt w:val="upperRoman"/>
      <w:lvlText w:val="%1."/>
      <w:legacy w:legacy="1" w:legacySpace="0" w:legacyIndent="360"/>
      <w:lvlJc w:val="left"/>
      <w:pPr>
        <w:ind w:left="360" w:hanging="360"/>
      </w:pPr>
    </w:lvl>
  </w:abstractNum>
  <w:abstractNum w:abstractNumId="44" w15:restartNumberingAfterBreak="0">
    <w:nsid w:val="73BE0EBB"/>
    <w:multiLevelType w:val="singleLevel"/>
    <w:tmpl w:val="8C006870"/>
    <w:lvl w:ilvl="0">
      <w:start w:val="12"/>
      <w:numFmt w:val="upperRoman"/>
      <w:lvlText w:val="%1."/>
      <w:legacy w:legacy="1" w:legacySpace="0" w:legacyIndent="360"/>
      <w:lvlJc w:val="left"/>
      <w:pPr>
        <w:ind w:left="360" w:hanging="360"/>
      </w:pPr>
    </w:lvl>
  </w:abstractNum>
  <w:abstractNum w:abstractNumId="45" w15:restartNumberingAfterBreak="0">
    <w:nsid w:val="75BE58C2"/>
    <w:multiLevelType w:val="singleLevel"/>
    <w:tmpl w:val="E808059A"/>
    <w:lvl w:ilvl="0">
      <w:start w:val="1"/>
      <w:numFmt w:val="upperLetter"/>
      <w:lvlText w:val="%1."/>
      <w:legacy w:legacy="1" w:legacySpace="0" w:legacyIndent="360"/>
      <w:lvlJc w:val="left"/>
      <w:pPr>
        <w:ind w:left="900" w:hanging="360"/>
      </w:pPr>
    </w:lvl>
  </w:abstractNum>
  <w:abstractNum w:abstractNumId="46" w15:restartNumberingAfterBreak="0">
    <w:nsid w:val="780811B9"/>
    <w:multiLevelType w:val="singleLevel"/>
    <w:tmpl w:val="E808059A"/>
    <w:lvl w:ilvl="0">
      <w:start w:val="1"/>
      <w:numFmt w:val="upperLetter"/>
      <w:lvlText w:val="%1."/>
      <w:legacy w:legacy="1" w:legacySpace="0" w:legacyIndent="360"/>
      <w:lvlJc w:val="left"/>
      <w:pPr>
        <w:ind w:left="900" w:hanging="360"/>
      </w:pPr>
    </w:lvl>
  </w:abstractNum>
  <w:num w:numId="1">
    <w:abstractNumId w:val="10"/>
  </w:num>
  <w:num w:numId="2">
    <w:abstractNumId w:val="1"/>
  </w:num>
  <w:num w:numId="3">
    <w:abstractNumId w:val="6"/>
  </w:num>
  <w:num w:numId="4">
    <w:abstractNumId w:val="6"/>
    <w:lvlOverride w:ilvl="0">
      <w:lvl w:ilvl="0">
        <w:start w:val="3"/>
        <w:numFmt w:val="decimal"/>
        <w:lvlText w:val="%1."/>
        <w:legacy w:legacy="1" w:legacySpace="0" w:legacyIndent="360"/>
        <w:lvlJc w:val="left"/>
        <w:pPr>
          <w:ind w:left="1260" w:hanging="360"/>
        </w:pPr>
      </w:lvl>
    </w:lvlOverride>
  </w:num>
  <w:num w:numId="5">
    <w:abstractNumId w:val="32"/>
  </w:num>
  <w:num w:numId="6">
    <w:abstractNumId w:val="45"/>
  </w:num>
  <w:num w:numId="7">
    <w:abstractNumId w:val="5"/>
  </w:num>
  <w:num w:numId="8">
    <w:abstractNumId w:val="3"/>
  </w:num>
  <w:num w:numId="9">
    <w:abstractNumId w:val="27"/>
  </w:num>
  <w:num w:numId="10">
    <w:abstractNumId w:val="38"/>
  </w:num>
  <w:num w:numId="11">
    <w:abstractNumId w:val="13"/>
  </w:num>
  <w:num w:numId="12">
    <w:abstractNumId w:val="21"/>
  </w:num>
  <w:num w:numId="13">
    <w:abstractNumId w:val="20"/>
  </w:num>
  <w:num w:numId="14">
    <w:abstractNumId w:val="35"/>
  </w:num>
  <w:num w:numId="15">
    <w:abstractNumId w:val="41"/>
  </w:num>
  <w:num w:numId="16">
    <w:abstractNumId w:val="24"/>
  </w:num>
  <w:num w:numId="17">
    <w:abstractNumId w:val="15"/>
  </w:num>
  <w:num w:numId="18">
    <w:abstractNumId w:val="42"/>
  </w:num>
  <w:num w:numId="19">
    <w:abstractNumId w:val="17"/>
  </w:num>
  <w:num w:numId="20">
    <w:abstractNumId w:val="26"/>
  </w:num>
  <w:num w:numId="21">
    <w:abstractNumId w:val="8"/>
  </w:num>
  <w:num w:numId="22">
    <w:abstractNumId w:val="37"/>
  </w:num>
  <w:num w:numId="23">
    <w:abstractNumId w:val="36"/>
  </w:num>
  <w:num w:numId="24">
    <w:abstractNumId w:val="2"/>
  </w:num>
  <w:num w:numId="25">
    <w:abstractNumId w:val="31"/>
  </w:num>
  <w:num w:numId="26">
    <w:abstractNumId w:val="43"/>
  </w:num>
  <w:num w:numId="27">
    <w:abstractNumId w:val="46"/>
  </w:num>
  <w:num w:numId="28">
    <w:abstractNumId w:val="14"/>
  </w:num>
  <w:num w:numId="29">
    <w:abstractNumId w:val="33"/>
  </w:num>
  <w:num w:numId="30">
    <w:abstractNumId w:val="25"/>
  </w:num>
  <w:num w:numId="31">
    <w:abstractNumId w:val="30"/>
  </w:num>
  <w:num w:numId="32">
    <w:abstractNumId w:val="7"/>
  </w:num>
  <w:num w:numId="33">
    <w:abstractNumId w:val="12"/>
  </w:num>
  <w:num w:numId="34">
    <w:abstractNumId w:val="44"/>
  </w:num>
  <w:num w:numId="35">
    <w:abstractNumId w:val="4"/>
  </w:num>
  <w:num w:numId="36">
    <w:abstractNumId w:val="22"/>
  </w:num>
  <w:num w:numId="37">
    <w:abstractNumId w:val="18"/>
  </w:num>
  <w:num w:numId="38">
    <w:abstractNumId w:val="23"/>
  </w:num>
  <w:num w:numId="39">
    <w:abstractNumId w:val="28"/>
  </w:num>
  <w:num w:numId="40">
    <w:abstractNumId w:val="29"/>
  </w:num>
  <w:num w:numId="41">
    <w:abstractNumId w:val="16"/>
  </w:num>
  <w:num w:numId="42">
    <w:abstractNumId w:val="34"/>
  </w:num>
  <w:num w:numId="43">
    <w:abstractNumId w:val="19"/>
  </w:num>
  <w:num w:numId="44">
    <w:abstractNumId w:val="0"/>
  </w:num>
  <w:num w:numId="45">
    <w:abstractNumId w:val="11"/>
  </w:num>
  <w:num w:numId="46">
    <w:abstractNumId w:val="39"/>
  </w:num>
  <w:num w:numId="47">
    <w:abstractNumId w:val="4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2E"/>
    <w:rsid w:val="00012866"/>
    <w:rsid w:val="00013C69"/>
    <w:rsid w:val="00030FE7"/>
    <w:rsid w:val="000371B8"/>
    <w:rsid w:val="00044206"/>
    <w:rsid w:val="00044715"/>
    <w:rsid w:val="00044EC6"/>
    <w:rsid w:val="000563F4"/>
    <w:rsid w:val="00064CE6"/>
    <w:rsid w:val="000979CF"/>
    <w:rsid w:val="00097F3D"/>
    <w:rsid w:val="000C3865"/>
    <w:rsid w:val="000C5143"/>
    <w:rsid w:val="000D37E3"/>
    <w:rsid w:val="000F70A6"/>
    <w:rsid w:val="00104670"/>
    <w:rsid w:val="00116AD4"/>
    <w:rsid w:val="001425AD"/>
    <w:rsid w:val="00144261"/>
    <w:rsid w:val="00145B92"/>
    <w:rsid w:val="00150516"/>
    <w:rsid w:val="00154E81"/>
    <w:rsid w:val="00157EAB"/>
    <w:rsid w:val="00160F1F"/>
    <w:rsid w:val="001620C1"/>
    <w:rsid w:val="00174376"/>
    <w:rsid w:val="00182864"/>
    <w:rsid w:val="00191ADD"/>
    <w:rsid w:val="00197E73"/>
    <w:rsid w:val="001A3358"/>
    <w:rsid w:val="001B7320"/>
    <w:rsid w:val="001C6257"/>
    <w:rsid w:val="001C71F6"/>
    <w:rsid w:val="001D4321"/>
    <w:rsid w:val="002044AE"/>
    <w:rsid w:val="00207DE4"/>
    <w:rsid w:val="002254AD"/>
    <w:rsid w:val="00225764"/>
    <w:rsid w:val="002451D5"/>
    <w:rsid w:val="002502E7"/>
    <w:rsid w:val="00250381"/>
    <w:rsid w:val="002564A0"/>
    <w:rsid w:val="00257D8A"/>
    <w:rsid w:val="00260D4C"/>
    <w:rsid w:val="0026203B"/>
    <w:rsid w:val="00265A33"/>
    <w:rsid w:val="002670F7"/>
    <w:rsid w:val="00270FE9"/>
    <w:rsid w:val="00275F01"/>
    <w:rsid w:val="00285B1D"/>
    <w:rsid w:val="002A4ABF"/>
    <w:rsid w:val="002B128E"/>
    <w:rsid w:val="002B5FD8"/>
    <w:rsid w:val="002B6506"/>
    <w:rsid w:val="002D3B98"/>
    <w:rsid w:val="002E1906"/>
    <w:rsid w:val="002E275E"/>
    <w:rsid w:val="002E6513"/>
    <w:rsid w:val="002F4C33"/>
    <w:rsid w:val="00300455"/>
    <w:rsid w:val="00302D28"/>
    <w:rsid w:val="00304692"/>
    <w:rsid w:val="00305619"/>
    <w:rsid w:val="003160C5"/>
    <w:rsid w:val="003301A1"/>
    <w:rsid w:val="0034465D"/>
    <w:rsid w:val="00351849"/>
    <w:rsid w:val="00351BE0"/>
    <w:rsid w:val="003631C5"/>
    <w:rsid w:val="0036478D"/>
    <w:rsid w:val="00366E63"/>
    <w:rsid w:val="0037621A"/>
    <w:rsid w:val="00376F47"/>
    <w:rsid w:val="0038104F"/>
    <w:rsid w:val="00385474"/>
    <w:rsid w:val="003869F2"/>
    <w:rsid w:val="00391E82"/>
    <w:rsid w:val="003924B3"/>
    <w:rsid w:val="003C09CD"/>
    <w:rsid w:val="003C76BD"/>
    <w:rsid w:val="003E5136"/>
    <w:rsid w:val="003F1801"/>
    <w:rsid w:val="00400D8B"/>
    <w:rsid w:val="004044DA"/>
    <w:rsid w:val="00404959"/>
    <w:rsid w:val="00413EB9"/>
    <w:rsid w:val="0041458C"/>
    <w:rsid w:val="004413B4"/>
    <w:rsid w:val="004417B4"/>
    <w:rsid w:val="00446275"/>
    <w:rsid w:val="00446BC5"/>
    <w:rsid w:val="00476C84"/>
    <w:rsid w:val="00480B0C"/>
    <w:rsid w:val="00481027"/>
    <w:rsid w:val="00486581"/>
    <w:rsid w:val="00495BC4"/>
    <w:rsid w:val="004A39C6"/>
    <w:rsid w:val="004C0A91"/>
    <w:rsid w:val="004C1277"/>
    <w:rsid w:val="004C155E"/>
    <w:rsid w:val="004C4D30"/>
    <w:rsid w:val="004D515E"/>
    <w:rsid w:val="004E0705"/>
    <w:rsid w:val="004E0EA5"/>
    <w:rsid w:val="004E4349"/>
    <w:rsid w:val="004E5A3B"/>
    <w:rsid w:val="004E7D68"/>
    <w:rsid w:val="00500B10"/>
    <w:rsid w:val="00503A88"/>
    <w:rsid w:val="00504718"/>
    <w:rsid w:val="005108C2"/>
    <w:rsid w:val="005112F3"/>
    <w:rsid w:val="00514DCF"/>
    <w:rsid w:val="00531BE4"/>
    <w:rsid w:val="00536250"/>
    <w:rsid w:val="00540A5B"/>
    <w:rsid w:val="00540A62"/>
    <w:rsid w:val="0054164A"/>
    <w:rsid w:val="00541FDB"/>
    <w:rsid w:val="005453E6"/>
    <w:rsid w:val="005675D7"/>
    <w:rsid w:val="0057142E"/>
    <w:rsid w:val="00590EEA"/>
    <w:rsid w:val="005947D2"/>
    <w:rsid w:val="005A1132"/>
    <w:rsid w:val="005A1AE4"/>
    <w:rsid w:val="005D1B31"/>
    <w:rsid w:val="005E2A44"/>
    <w:rsid w:val="005F192A"/>
    <w:rsid w:val="005F2E15"/>
    <w:rsid w:val="005F445A"/>
    <w:rsid w:val="006134ED"/>
    <w:rsid w:val="0062270D"/>
    <w:rsid w:val="00624E25"/>
    <w:rsid w:val="00626CF7"/>
    <w:rsid w:val="006324C9"/>
    <w:rsid w:val="0063637B"/>
    <w:rsid w:val="006405F4"/>
    <w:rsid w:val="00646F7B"/>
    <w:rsid w:val="00654E14"/>
    <w:rsid w:val="006621AA"/>
    <w:rsid w:val="0067432D"/>
    <w:rsid w:val="00692743"/>
    <w:rsid w:val="0069319E"/>
    <w:rsid w:val="0069748F"/>
    <w:rsid w:val="006A6065"/>
    <w:rsid w:val="006C114B"/>
    <w:rsid w:val="006C24E9"/>
    <w:rsid w:val="006C3475"/>
    <w:rsid w:val="006E3CB4"/>
    <w:rsid w:val="006E63EE"/>
    <w:rsid w:val="006E679B"/>
    <w:rsid w:val="006F1B24"/>
    <w:rsid w:val="006F6B8B"/>
    <w:rsid w:val="007112A5"/>
    <w:rsid w:val="007154C9"/>
    <w:rsid w:val="00725837"/>
    <w:rsid w:val="00737D32"/>
    <w:rsid w:val="007420DA"/>
    <w:rsid w:val="00756A6D"/>
    <w:rsid w:val="0077391D"/>
    <w:rsid w:val="00776660"/>
    <w:rsid w:val="00776971"/>
    <w:rsid w:val="00781092"/>
    <w:rsid w:val="00785436"/>
    <w:rsid w:val="00786DB8"/>
    <w:rsid w:val="007A37C2"/>
    <w:rsid w:val="007A7059"/>
    <w:rsid w:val="007B349D"/>
    <w:rsid w:val="007C7E67"/>
    <w:rsid w:val="007D4CFC"/>
    <w:rsid w:val="007E786D"/>
    <w:rsid w:val="007F4071"/>
    <w:rsid w:val="007F6782"/>
    <w:rsid w:val="008053D5"/>
    <w:rsid w:val="0081264D"/>
    <w:rsid w:val="008150A4"/>
    <w:rsid w:val="00831F34"/>
    <w:rsid w:val="00833B9F"/>
    <w:rsid w:val="00834451"/>
    <w:rsid w:val="00835093"/>
    <w:rsid w:val="00845110"/>
    <w:rsid w:val="00846244"/>
    <w:rsid w:val="00846E58"/>
    <w:rsid w:val="008670A5"/>
    <w:rsid w:val="00867473"/>
    <w:rsid w:val="008705FD"/>
    <w:rsid w:val="00880CFA"/>
    <w:rsid w:val="00881EEA"/>
    <w:rsid w:val="00893D2E"/>
    <w:rsid w:val="0089665F"/>
    <w:rsid w:val="008C3008"/>
    <w:rsid w:val="008C3339"/>
    <w:rsid w:val="008C3C1A"/>
    <w:rsid w:val="008C50C0"/>
    <w:rsid w:val="008D722A"/>
    <w:rsid w:val="008E2286"/>
    <w:rsid w:val="008E739F"/>
    <w:rsid w:val="008E76E7"/>
    <w:rsid w:val="0090685F"/>
    <w:rsid w:val="009142CD"/>
    <w:rsid w:val="0092390D"/>
    <w:rsid w:val="009255D4"/>
    <w:rsid w:val="00926B30"/>
    <w:rsid w:val="00940AFD"/>
    <w:rsid w:val="0094292B"/>
    <w:rsid w:val="00961F41"/>
    <w:rsid w:val="0097696F"/>
    <w:rsid w:val="0098225A"/>
    <w:rsid w:val="009823FA"/>
    <w:rsid w:val="009858D3"/>
    <w:rsid w:val="0098659B"/>
    <w:rsid w:val="0099157B"/>
    <w:rsid w:val="009A456A"/>
    <w:rsid w:val="009E6AD8"/>
    <w:rsid w:val="009F1BCD"/>
    <w:rsid w:val="00A11CDD"/>
    <w:rsid w:val="00A16D47"/>
    <w:rsid w:val="00A265D1"/>
    <w:rsid w:val="00A46A92"/>
    <w:rsid w:val="00A52265"/>
    <w:rsid w:val="00A56E7B"/>
    <w:rsid w:val="00A62CA9"/>
    <w:rsid w:val="00A64E66"/>
    <w:rsid w:val="00A66BE0"/>
    <w:rsid w:val="00A96A9F"/>
    <w:rsid w:val="00B0048D"/>
    <w:rsid w:val="00B116A3"/>
    <w:rsid w:val="00B14581"/>
    <w:rsid w:val="00B21B7C"/>
    <w:rsid w:val="00B264B6"/>
    <w:rsid w:val="00B37F7F"/>
    <w:rsid w:val="00B42FBC"/>
    <w:rsid w:val="00B44807"/>
    <w:rsid w:val="00B51679"/>
    <w:rsid w:val="00B56B34"/>
    <w:rsid w:val="00B80C8B"/>
    <w:rsid w:val="00B8440D"/>
    <w:rsid w:val="00B859F2"/>
    <w:rsid w:val="00B9383C"/>
    <w:rsid w:val="00BA2251"/>
    <w:rsid w:val="00BA5011"/>
    <w:rsid w:val="00BC16A8"/>
    <w:rsid w:val="00BC406B"/>
    <w:rsid w:val="00BC4332"/>
    <w:rsid w:val="00BE7C12"/>
    <w:rsid w:val="00BF5DFA"/>
    <w:rsid w:val="00C060BC"/>
    <w:rsid w:val="00C069EB"/>
    <w:rsid w:val="00C15DE5"/>
    <w:rsid w:val="00C2494E"/>
    <w:rsid w:val="00C30DFD"/>
    <w:rsid w:val="00C31BF3"/>
    <w:rsid w:val="00C33518"/>
    <w:rsid w:val="00C34BAC"/>
    <w:rsid w:val="00C40A23"/>
    <w:rsid w:val="00C43192"/>
    <w:rsid w:val="00C501BD"/>
    <w:rsid w:val="00C51532"/>
    <w:rsid w:val="00C52D2C"/>
    <w:rsid w:val="00C73126"/>
    <w:rsid w:val="00C95B62"/>
    <w:rsid w:val="00CB6D26"/>
    <w:rsid w:val="00CC0525"/>
    <w:rsid w:val="00CC38C5"/>
    <w:rsid w:val="00CD49DE"/>
    <w:rsid w:val="00CD604E"/>
    <w:rsid w:val="00CE2825"/>
    <w:rsid w:val="00CE5731"/>
    <w:rsid w:val="00CF161C"/>
    <w:rsid w:val="00CF2EFE"/>
    <w:rsid w:val="00CF507F"/>
    <w:rsid w:val="00D11679"/>
    <w:rsid w:val="00D1768B"/>
    <w:rsid w:val="00D21D06"/>
    <w:rsid w:val="00D27BF1"/>
    <w:rsid w:val="00D35B47"/>
    <w:rsid w:val="00D4636A"/>
    <w:rsid w:val="00D646D1"/>
    <w:rsid w:val="00D72953"/>
    <w:rsid w:val="00D921A3"/>
    <w:rsid w:val="00DA7ADE"/>
    <w:rsid w:val="00DD0902"/>
    <w:rsid w:val="00DF7D0D"/>
    <w:rsid w:val="00E071E8"/>
    <w:rsid w:val="00E11E8C"/>
    <w:rsid w:val="00E25EDA"/>
    <w:rsid w:val="00E27884"/>
    <w:rsid w:val="00E30466"/>
    <w:rsid w:val="00E31E41"/>
    <w:rsid w:val="00E5108D"/>
    <w:rsid w:val="00E55FB8"/>
    <w:rsid w:val="00E602A1"/>
    <w:rsid w:val="00E66C0F"/>
    <w:rsid w:val="00E73E4F"/>
    <w:rsid w:val="00E74B5B"/>
    <w:rsid w:val="00EC2828"/>
    <w:rsid w:val="00ED19F2"/>
    <w:rsid w:val="00ED7AF6"/>
    <w:rsid w:val="00EE41FF"/>
    <w:rsid w:val="00F03F78"/>
    <w:rsid w:val="00F072AD"/>
    <w:rsid w:val="00F1151C"/>
    <w:rsid w:val="00F16DB6"/>
    <w:rsid w:val="00F30B80"/>
    <w:rsid w:val="00F47B47"/>
    <w:rsid w:val="00F57D08"/>
    <w:rsid w:val="00F67B93"/>
    <w:rsid w:val="00F737A5"/>
    <w:rsid w:val="00F87B09"/>
    <w:rsid w:val="00F9760B"/>
    <w:rsid w:val="00FB43B7"/>
    <w:rsid w:val="00FC7C69"/>
    <w:rsid w:val="00FD27F4"/>
    <w:rsid w:val="00FD4C46"/>
    <w:rsid w:val="00FE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3416F4"/>
  <w15:chartTrackingRefBased/>
  <w15:docId w15:val="{4F56C0F7-F3EC-4A4C-B2CA-AD44F2C7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D8"/>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2B5FD8"/>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ListParagraph">
    <w:name w:val="List Paragraph"/>
    <w:basedOn w:val="Normal"/>
    <w:uiPriority w:val="34"/>
    <w:qFormat/>
    <w:rsid w:val="006E63EE"/>
    <w:pPr>
      <w:overflowPunct/>
      <w:autoSpaceDE/>
      <w:autoSpaceDN/>
      <w:adjustRightInd/>
      <w:spacing w:after="200" w:line="276" w:lineRule="auto"/>
      <w:ind w:left="720"/>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776660"/>
  </w:style>
  <w:style w:type="paragraph" w:styleId="BalloonText">
    <w:name w:val="Balloon Text"/>
    <w:basedOn w:val="Normal"/>
    <w:link w:val="BalloonTextChar"/>
    <w:rsid w:val="00776660"/>
    <w:rPr>
      <w:rFonts w:ascii="Tahoma" w:hAnsi="Tahoma" w:cs="Tahoma"/>
      <w:sz w:val="16"/>
      <w:szCs w:val="16"/>
    </w:rPr>
  </w:style>
  <w:style w:type="character" w:customStyle="1" w:styleId="BalloonTextChar">
    <w:name w:val="Balloon Text Char"/>
    <w:link w:val="BalloonText"/>
    <w:rsid w:val="00776660"/>
    <w:rPr>
      <w:rFonts w:ascii="Tahoma" w:hAnsi="Tahoma" w:cs="Tahoma"/>
      <w:sz w:val="16"/>
      <w:szCs w:val="16"/>
    </w:rPr>
  </w:style>
  <w:style w:type="character" w:customStyle="1" w:styleId="Heading1Char">
    <w:name w:val="Heading 1 Char"/>
    <w:link w:val="Heading1"/>
    <w:uiPriority w:val="9"/>
    <w:rsid w:val="00776660"/>
    <w:rPr>
      <w:rFonts w:ascii="Arial" w:hAnsi="Arial"/>
      <w:b/>
      <w:sz w:val="22"/>
    </w:rPr>
  </w:style>
  <w:style w:type="character" w:styleId="Hyperlink">
    <w:name w:val="Hyperlink"/>
    <w:rsid w:val="006134ED"/>
    <w:rPr>
      <w:color w:val="0563C1"/>
      <w:u w:val="single"/>
    </w:rPr>
  </w:style>
  <w:style w:type="character" w:styleId="CommentReference">
    <w:name w:val="annotation reference"/>
    <w:uiPriority w:val="99"/>
    <w:rsid w:val="00CF2EFE"/>
    <w:rPr>
      <w:sz w:val="16"/>
      <w:szCs w:val="16"/>
    </w:rPr>
  </w:style>
  <w:style w:type="paragraph" w:styleId="CommentText">
    <w:name w:val="annotation text"/>
    <w:basedOn w:val="Normal"/>
    <w:link w:val="CommentTextChar"/>
    <w:uiPriority w:val="99"/>
    <w:rsid w:val="00CF2EFE"/>
  </w:style>
  <w:style w:type="character" w:customStyle="1" w:styleId="CommentTextChar">
    <w:name w:val="Comment Text Char"/>
    <w:basedOn w:val="DefaultParagraphFont"/>
    <w:link w:val="CommentText"/>
    <w:uiPriority w:val="99"/>
    <w:rsid w:val="00CF2EFE"/>
  </w:style>
  <w:style w:type="paragraph" w:styleId="CommentSubject">
    <w:name w:val="annotation subject"/>
    <w:basedOn w:val="CommentText"/>
    <w:next w:val="CommentText"/>
    <w:link w:val="CommentSubjectChar"/>
    <w:rsid w:val="00CF2EFE"/>
    <w:rPr>
      <w:b/>
      <w:bCs/>
    </w:rPr>
  </w:style>
  <w:style w:type="character" w:customStyle="1" w:styleId="CommentSubjectChar">
    <w:name w:val="Comment Subject Char"/>
    <w:link w:val="CommentSubject"/>
    <w:rsid w:val="00CF2EFE"/>
    <w:rPr>
      <w:b/>
      <w:bCs/>
    </w:rPr>
  </w:style>
  <w:style w:type="character" w:customStyle="1" w:styleId="UnresolvedMention">
    <w:name w:val="Unresolved Mention"/>
    <w:uiPriority w:val="99"/>
    <w:semiHidden/>
    <w:unhideWhenUsed/>
    <w:rsid w:val="00C060BC"/>
    <w:rPr>
      <w:color w:val="605E5C"/>
      <w:shd w:val="clear" w:color="auto" w:fill="E1DFDD"/>
    </w:rPr>
  </w:style>
  <w:style w:type="paragraph" w:styleId="Revision">
    <w:name w:val="Revision"/>
    <w:hidden/>
    <w:uiPriority w:val="99"/>
    <w:semiHidden/>
    <w:rsid w:val="0069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4549">
      <w:bodyDiv w:val="1"/>
      <w:marLeft w:val="0"/>
      <w:marRight w:val="0"/>
      <w:marTop w:val="0"/>
      <w:marBottom w:val="0"/>
      <w:divBdr>
        <w:top w:val="none" w:sz="0" w:space="0" w:color="auto"/>
        <w:left w:val="none" w:sz="0" w:space="0" w:color="auto"/>
        <w:bottom w:val="none" w:sz="0" w:space="0" w:color="auto"/>
        <w:right w:val="none" w:sz="0" w:space="0" w:color="auto"/>
      </w:divBdr>
    </w:div>
    <w:div w:id="1854882595">
      <w:bodyDiv w:val="1"/>
      <w:marLeft w:val="0"/>
      <w:marRight w:val="0"/>
      <w:marTop w:val="0"/>
      <w:marBottom w:val="0"/>
      <w:divBdr>
        <w:top w:val="none" w:sz="0" w:space="0" w:color="auto"/>
        <w:left w:val="none" w:sz="0" w:space="0" w:color="auto"/>
        <w:bottom w:val="none" w:sz="0" w:space="0" w:color="auto"/>
        <w:right w:val="none" w:sz="0" w:space="0" w:color="auto"/>
      </w:divBdr>
    </w:div>
    <w:div w:id="21263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codes_displayText.xhtml?lawCode=GOV&amp;division=1.&amp;title=6.7.&amp;part=&amp;chapter=1.&amp;article=2." TargetMode="External"/><Relationship Id="rId13" Type="http://schemas.openxmlformats.org/officeDocument/2006/relationships/hyperlink" Target="https://ibank.ca.gov/board/board-meeting-deadlines-2020/" TargetMode="External"/><Relationship Id="rId18" Type="http://schemas.openxmlformats.org/officeDocument/2006/relationships/hyperlink" Target="mailto:BondUnit@IBank.CA.GO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leginfo.legislature.ca.gov/faces/codes_displaySection.xhtml?lawCode=LAB&amp;sectionNum=1720." TargetMode="External"/><Relationship Id="rId7" Type="http://schemas.openxmlformats.org/officeDocument/2006/relationships/hyperlink" Target="https://leginfo.legislature.ca.gov/faces/codes_displayText.xhtml?lawCode=GOV&amp;division=1.&amp;title=6.7.&amp;part=&amp;chapter=1.&amp;article=2." TargetMode="External"/><Relationship Id="rId12" Type="http://schemas.openxmlformats.org/officeDocument/2006/relationships/hyperlink" Target="https://ibank.ca.gov/bonds/bond-applications-documents/" TargetMode="External"/><Relationship Id="rId17" Type="http://schemas.openxmlformats.org/officeDocument/2006/relationships/hyperlink" Target="mailto:BondUnit@IBank.CA.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ate" TargetMode="External"/><Relationship Id="rId20" Type="http://schemas.openxmlformats.org/officeDocument/2006/relationships/hyperlink" Target="https://www.cslb.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bank.ca.gov/bonds/bond-applications-document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BondUnit@IBank.CA.GOV" TargetMode="External"/><Relationship Id="rId23" Type="http://schemas.openxmlformats.org/officeDocument/2006/relationships/hyperlink" Target="https://leginfo.legislature.ca.gov/faces/codes_displaySection.xhtml?lawCode=GOV&amp;sectionNum=5702" TargetMode="External"/><Relationship Id="rId28" Type="http://schemas.openxmlformats.org/officeDocument/2006/relationships/theme" Target="theme/theme1.xml"/><Relationship Id="rId10" Type="http://schemas.openxmlformats.org/officeDocument/2006/relationships/hyperlink" Target="http://leginfo.legislature.ca.gov/faces/codes_displayText.xhtml?lawCode=GOV&amp;division=1.&amp;title=6.7.&amp;part=&amp;chapter=1.&amp;article=2." TargetMode="External"/><Relationship Id="rId19" Type="http://schemas.openxmlformats.org/officeDocument/2006/relationships/hyperlink" Target="https://www.irs.gov/tax-exempt-bonds/section-147-public-approval-requirements-and-reasonable-economic-life" TargetMode="External"/><Relationship Id="rId4" Type="http://schemas.openxmlformats.org/officeDocument/2006/relationships/webSettings" Target="webSettings.xml"/><Relationship Id="rId9" Type="http://schemas.openxmlformats.org/officeDocument/2006/relationships/hyperlink" Target="http://leginfo.legislature.ca.gov/faces/codes_displayText.xhtml?lawCode=GOV&amp;division=1.&amp;title=6.7.&amp;part=&amp;chapter=1.&amp;article=2." TargetMode="External"/><Relationship Id="rId14" Type="http://schemas.openxmlformats.org/officeDocument/2006/relationships/hyperlink" Target="mailto:Board%20Meeting%20Deadline" TargetMode="External"/><Relationship Id="rId22" Type="http://schemas.openxmlformats.org/officeDocument/2006/relationships/hyperlink" Target="http://www.treasurer.ca.gov/bonds/pools/underwriter.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2799</Words>
  <Characters>17062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CALIFORNIA INFRASTRUCTURE AND ECONOMIC</vt:lpstr>
    </vt:vector>
  </TitlesOfParts>
  <Company>Trade and Commerce Agency</Company>
  <LinksUpToDate>false</LinksUpToDate>
  <CharactersWithSpaces>19822</CharactersWithSpaces>
  <SharedDoc>false</SharedDoc>
  <HLinks>
    <vt:vector size="108" baseType="variant">
      <vt:variant>
        <vt:i4>1179693</vt:i4>
      </vt:variant>
      <vt:variant>
        <vt:i4>53</vt:i4>
      </vt:variant>
      <vt:variant>
        <vt:i4>0</vt:i4>
      </vt:variant>
      <vt:variant>
        <vt:i4>5</vt:i4>
      </vt:variant>
      <vt:variant>
        <vt:lpwstr>http://https/leginfo.legislature.ca.gov/faces/codes_displayText.xhtml?lawCode=CONS&amp;division=&amp;title=&amp;part=&amp;chapter=&amp;article=XVI</vt:lpwstr>
      </vt:variant>
      <vt:variant>
        <vt:lpwstr/>
      </vt:variant>
      <vt:variant>
        <vt:i4>7143511</vt:i4>
      </vt:variant>
      <vt:variant>
        <vt:i4>50</vt:i4>
      </vt:variant>
      <vt:variant>
        <vt:i4>0</vt:i4>
      </vt:variant>
      <vt:variant>
        <vt:i4>5</vt:i4>
      </vt:variant>
      <vt:variant>
        <vt:lpwstr>https://leginfo.legislature.ca.gov/faces/codes_displaySection.xhtml?lawCode=GOV&amp;sectionNum=5702</vt:lpwstr>
      </vt:variant>
      <vt:variant>
        <vt:lpwstr/>
      </vt:variant>
      <vt:variant>
        <vt:i4>6357096</vt:i4>
      </vt:variant>
      <vt:variant>
        <vt:i4>47</vt:i4>
      </vt:variant>
      <vt:variant>
        <vt:i4>0</vt:i4>
      </vt:variant>
      <vt:variant>
        <vt:i4>5</vt:i4>
      </vt:variant>
      <vt:variant>
        <vt:lpwstr>http://www.treasurer.ca.gov/bonds/pools/underwriter.asp</vt:lpwstr>
      </vt:variant>
      <vt:variant>
        <vt:lpwstr/>
      </vt:variant>
      <vt:variant>
        <vt:i4>1245309</vt:i4>
      </vt:variant>
      <vt:variant>
        <vt:i4>44</vt:i4>
      </vt:variant>
      <vt:variant>
        <vt:i4>0</vt:i4>
      </vt:variant>
      <vt:variant>
        <vt:i4>5</vt:i4>
      </vt:variant>
      <vt:variant>
        <vt:lpwstr>http://leginfo.legislature.ca.gov/faces/codes_displaySection.xhtml?lawCode=LAB&amp;sectionNum=1720.</vt:lpwstr>
      </vt:variant>
      <vt:variant>
        <vt:lpwstr/>
      </vt:variant>
      <vt:variant>
        <vt:i4>5505041</vt:i4>
      </vt:variant>
      <vt:variant>
        <vt:i4>41</vt:i4>
      </vt:variant>
      <vt:variant>
        <vt:i4>0</vt:i4>
      </vt:variant>
      <vt:variant>
        <vt:i4>5</vt:i4>
      </vt:variant>
      <vt:variant>
        <vt:lpwstr>https://www.cslb.ca.gov/</vt:lpwstr>
      </vt:variant>
      <vt:variant>
        <vt:lpwstr/>
      </vt:variant>
      <vt:variant>
        <vt:i4>8061054</vt:i4>
      </vt:variant>
      <vt:variant>
        <vt:i4>38</vt:i4>
      </vt:variant>
      <vt:variant>
        <vt:i4>0</vt:i4>
      </vt:variant>
      <vt:variant>
        <vt:i4>5</vt:i4>
      </vt:variant>
      <vt:variant>
        <vt:lpwstr>https://www.irs.gov/tax-exempt-bonds/section-147-public-approval-requirements-and-reasonable-economic-life</vt:lpwstr>
      </vt:variant>
      <vt:variant>
        <vt:lpwstr/>
      </vt:variant>
      <vt:variant>
        <vt:i4>6291482</vt:i4>
      </vt:variant>
      <vt:variant>
        <vt:i4>35</vt:i4>
      </vt:variant>
      <vt:variant>
        <vt:i4>0</vt:i4>
      </vt:variant>
      <vt:variant>
        <vt:i4>5</vt:i4>
      </vt:variant>
      <vt:variant>
        <vt:lpwstr>mailto:BondUnit@IBank.CA.GOV</vt:lpwstr>
      </vt:variant>
      <vt:variant>
        <vt:lpwstr/>
      </vt:variant>
      <vt:variant>
        <vt:i4>6291482</vt:i4>
      </vt:variant>
      <vt:variant>
        <vt:i4>32</vt:i4>
      </vt:variant>
      <vt:variant>
        <vt:i4>0</vt:i4>
      </vt:variant>
      <vt:variant>
        <vt:i4>5</vt:i4>
      </vt:variant>
      <vt:variant>
        <vt:lpwstr>mailto:BondUnit@IBank.CA.GOV</vt:lpwstr>
      </vt:variant>
      <vt:variant>
        <vt:lpwstr/>
      </vt:variant>
      <vt:variant>
        <vt:i4>7471147</vt:i4>
      </vt:variant>
      <vt:variant>
        <vt:i4>29</vt:i4>
      </vt:variant>
      <vt:variant>
        <vt:i4>0</vt:i4>
      </vt:variant>
      <vt:variant>
        <vt:i4>5</vt:i4>
      </vt:variant>
      <vt:variant>
        <vt:lpwstr>mailto:date</vt:lpwstr>
      </vt:variant>
      <vt:variant>
        <vt:lpwstr/>
      </vt:variant>
      <vt:variant>
        <vt:i4>6291482</vt:i4>
      </vt:variant>
      <vt:variant>
        <vt:i4>26</vt:i4>
      </vt:variant>
      <vt:variant>
        <vt:i4>0</vt:i4>
      </vt:variant>
      <vt:variant>
        <vt:i4>5</vt:i4>
      </vt:variant>
      <vt:variant>
        <vt:lpwstr>mailto:BondUnit@IBank.CA.GOV</vt:lpwstr>
      </vt:variant>
      <vt:variant>
        <vt:lpwstr/>
      </vt:variant>
      <vt:variant>
        <vt:i4>262208</vt:i4>
      </vt:variant>
      <vt:variant>
        <vt:i4>23</vt:i4>
      </vt:variant>
      <vt:variant>
        <vt:i4>0</vt:i4>
      </vt:variant>
      <vt:variant>
        <vt:i4>5</vt:i4>
      </vt:variant>
      <vt:variant>
        <vt:lpwstr>mailto:Board%20Meeting%20Deadline</vt:lpwstr>
      </vt:variant>
      <vt:variant>
        <vt:lpwstr/>
      </vt:variant>
      <vt:variant>
        <vt:i4>1966174</vt:i4>
      </vt:variant>
      <vt:variant>
        <vt:i4>20</vt:i4>
      </vt:variant>
      <vt:variant>
        <vt:i4>0</vt:i4>
      </vt:variant>
      <vt:variant>
        <vt:i4>5</vt:i4>
      </vt:variant>
      <vt:variant>
        <vt:lpwstr>https://ibank.ca.gov/board/board-meeting-deadlines-2020/</vt:lpwstr>
      </vt:variant>
      <vt:variant>
        <vt:lpwstr/>
      </vt:variant>
      <vt:variant>
        <vt:i4>8192057</vt:i4>
      </vt:variant>
      <vt:variant>
        <vt:i4>17</vt:i4>
      </vt:variant>
      <vt:variant>
        <vt:i4>0</vt:i4>
      </vt:variant>
      <vt:variant>
        <vt:i4>5</vt:i4>
      </vt:variant>
      <vt:variant>
        <vt:lpwstr>https://ibank.ca.gov/bonds/bond-applications-documents/</vt:lpwstr>
      </vt:variant>
      <vt:variant>
        <vt:lpwstr/>
      </vt:variant>
      <vt:variant>
        <vt:i4>8192057</vt:i4>
      </vt:variant>
      <vt:variant>
        <vt:i4>14</vt:i4>
      </vt:variant>
      <vt:variant>
        <vt:i4>0</vt:i4>
      </vt:variant>
      <vt:variant>
        <vt:i4>5</vt:i4>
      </vt:variant>
      <vt:variant>
        <vt:lpwstr>https://ibank.ca.gov/bonds/bond-applications-documents/</vt:lpwstr>
      </vt:variant>
      <vt:variant>
        <vt:lpwstr/>
      </vt:variant>
      <vt:variant>
        <vt:i4>4784167</vt:i4>
      </vt:variant>
      <vt:variant>
        <vt:i4>11</vt:i4>
      </vt:variant>
      <vt:variant>
        <vt:i4>0</vt:i4>
      </vt:variant>
      <vt:variant>
        <vt:i4>5</vt:i4>
      </vt:variant>
      <vt:variant>
        <vt:lpwstr>http://leginfo.legislature.ca.gov/faces/codes_displayText.xhtml?lawCode=GOV&amp;division=1.&amp;title=6.7.&amp;part=&amp;chapter=1.&amp;article=2.</vt:lpwstr>
      </vt:variant>
      <vt:variant>
        <vt:lpwstr/>
      </vt:variant>
      <vt:variant>
        <vt:i4>4784167</vt:i4>
      </vt:variant>
      <vt:variant>
        <vt:i4>8</vt:i4>
      </vt:variant>
      <vt:variant>
        <vt:i4>0</vt:i4>
      </vt:variant>
      <vt:variant>
        <vt:i4>5</vt:i4>
      </vt:variant>
      <vt:variant>
        <vt:lpwstr>http://leginfo.legislature.ca.gov/faces/codes_displayText.xhtml?lawCode=GOV&amp;division=1.&amp;title=6.7.&amp;part=&amp;chapter=1.&amp;article=2.</vt:lpwstr>
      </vt:variant>
      <vt:variant>
        <vt:lpwstr/>
      </vt:variant>
      <vt:variant>
        <vt:i4>4784167</vt:i4>
      </vt:variant>
      <vt:variant>
        <vt:i4>5</vt:i4>
      </vt:variant>
      <vt:variant>
        <vt:i4>0</vt:i4>
      </vt:variant>
      <vt:variant>
        <vt:i4>5</vt:i4>
      </vt:variant>
      <vt:variant>
        <vt:lpwstr>http://leginfo.legislature.ca.gov/faces/codes_displayText.xhtml?lawCode=GOV&amp;division=1.&amp;title=6.7.&amp;part=&amp;chapter=1.&amp;article=2.</vt:lpwstr>
      </vt:variant>
      <vt:variant>
        <vt:lpwstr/>
      </vt:variant>
      <vt:variant>
        <vt:i4>4128780</vt:i4>
      </vt:variant>
      <vt:variant>
        <vt:i4>2</vt:i4>
      </vt:variant>
      <vt:variant>
        <vt:i4>0</vt:i4>
      </vt:variant>
      <vt:variant>
        <vt:i4>5</vt:i4>
      </vt:variant>
      <vt:variant>
        <vt:lpwstr>https://leginfo.legislature.ca.gov/faces/codes_displayText.xhtml?lawCode=GOV&amp;division=1.&amp;title=6.7.&amp;part=&amp;chapter=1.&amp;article=2.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INFRASTRUCTURE AND ECONOMIC</dc:title>
  <dc:subject/>
  <dc:creator>TCA</dc:creator>
  <cp:keywords/>
  <cp:lastModifiedBy>Khoie, Fariba@IBank</cp:lastModifiedBy>
  <cp:revision>2</cp:revision>
  <cp:lastPrinted>2010-08-24T22:53:00Z</cp:lastPrinted>
  <dcterms:created xsi:type="dcterms:W3CDTF">2021-03-03T19:46:00Z</dcterms:created>
  <dcterms:modified xsi:type="dcterms:W3CDTF">2021-03-03T19:46:00Z</dcterms:modified>
</cp:coreProperties>
</file>